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3GPP TSG-RAN WG2 Meeting #123bis</w:t>
      </w:r>
      <w:r>
        <w:rPr>
          <w:rFonts w:ascii="Arial" w:hAnsi="Arial" w:eastAsia="宋体"/>
          <w:b/>
          <w:bCs/>
          <w:sz w:val="24"/>
          <w:lang w:val="en-GB"/>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lang w:val="en-GB"/>
        </w:rPr>
        <w:t>R2-2310607</w:t>
      </w:r>
    </w:p>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Xiamen, China, October 9th – 13th, 2023</w:t>
      </w:r>
    </w:p>
    <w:p>
      <w:pPr>
        <w:overflowPunct w:val="0"/>
        <w:autoSpaceDE w:val="0"/>
        <w:autoSpaceDN w:val="0"/>
        <w:adjustRightInd w:val="0"/>
        <w:snapToGrid w:val="0"/>
        <w:spacing w:line="240" w:lineRule="auto"/>
        <w:jc w:val="left"/>
        <w:textAlignment w:val="baseline"/>
        <w:rPr>
          <w:rFonts w:ascii="Arial" w:hAnsi="Arial" w:eastAsia="宋体"/>
          <w:b/>
          <w:bCs/>
          <w:sz w:val="24"/>
          <w:lang w:val="en-GB"/>
        </w:rPr>
      </w:pP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On height-based</w:t>
      </w:r>
      <w:r>
        <w:rPr>
          <w:rFonts w:ascii="Arial" w:hAnsi="Arial" w:cs="Arial"/>
          <w:b/>
          <w:bCs/>
          <w:snapToGrid w:val="0"/>
          <w:kern w:val="0"/>
          <w:sz w:val="24"/>
        </w:rPr>
        <w:t xml:space="preserve"> </w:t>
      </w:r>
      <w:r>
        <w:rPr>
          <w:rFonts w:hint="eastAsia" w:ascii="Arial" w:hAnsi="Arial" w:cs="Arial"/>
          <w:b/>
          <w:bCs/>
          <w:snapToGrid w:val="0"/>
          <w:kern w:val="0"/>
          <w:sz w:val="24"/>
        </w:rPr>
        <w:t>SSB-ToMeasure configuration</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7.8.2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0" w:line="240" w:lineRule="auto"/>
        <w:rPr>
          <w:szCs w:val="21"/>
        </w:rPr>
      </w:pPr>
      <w:r>
        <w:rPr>
          <w:rFonts w:hint="eastAsia"/>
          <w:szCs w:val="21"/>
        </w:rPr>
        <w:t xml:space="preserve">In RAN2#121bis-e </w:t>
      </w:r>
      <w:r>
        <w:rPr>
          <w:szCs w:val="21"/>
        </w:rPr>
        <w:t>meeting [</w:t>
      </w:r>
      <w:r>
        <w:rPr>
          <w:rFonts w:hint="eastAsia"/>
          <w:szCs w:val="21"/>
        </w:rPr>
        <w:t>1], following agreements were reached:</w:t>
      </w:r>
    </w:p>
    <w:p>
      <w:pPr>
        <w:pStyle w:val="68"/>
        <w:pBdr>
          <w:top w:val="single" w:color="auto" w:sz="4" w:space="1"/>
          <w:left w:val="single" w:color="auto" w:sz="4" w:space="4"/>
          <w:bottom w:val="single" w:color="auto" w:sz="4" w:space="1"/>
          <w:right w:val="single" w:color="auto" w:sz="4" w:space="4"/>
        </w:pBdr>
        <w:spacing w:after="0" w:line="240" w:lineRule="auto"/>
        <w:rPr>
          <w:rFonts w:ascii="Times New Roman" w:hAnsi="Times New Roman"/>
          <w:b/>
          <w:bCs/>
          <w:sz w:val="21"/>
          <w:szCs w:val="21"/>
        </w:rPr>
      </w:pPr>
      <w:bookmarkStart w:id="2" w:name="OLE_LINK1"/>
      <w:r>
        <w:rPr>
          <w:rFonts w:ascii="Times New Roman" w:hAnsi="Times New Roman"/>
          <w:b/>
          <w:bCs/>
          <w:sz w:val="21"/>
          <w:szCs w:val="21"/>
        </w:rPr>
        <w:t>Agreements</w:t>
      </w:r>
    </w:p>
    <w:p>
      <w:pPr>
        <w:pStyle w:val="68"/>
        <w:numPr>
          <w:ilvl w:val="0"/>
          <w:numId w:val="4"/>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sz w:val="21"/>
          <w:szCs w:val="21"/>
        </w:rPr>
      </w:pPr>
      <w:r>
        <w:rPr>
          <w:rFonts w:ascii="Times New Roman" w:hAnsi="Times New Roman"/>
          <w:sz w:val="21"/>
          <w:szCs w:val="21"/>
        </w:rPr>
        <w:t>Height-dependent more-than-one configurations is supported on parameter/field level (i.e. different fields/values within the same MO) where different values (or value ranges) of the parameter/field applies to different height or height range.</w:t>
      </w:r>
    </w:p>
    <w:p>
      <w:pPr>
        <w:pStyle w:val="68"/>
        <w:numPr>
          <w:ilvl w:val="0"/>
          <w:numId w:val="4"/>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sz w:val="21"/>
          <w:szCs w:val="21"/>
        </w:rPr>
      </w:pPr>
      <w:r>
        <w:rPr>
          <w:rFonts w:ascii="Times New Roman" w:hAnsi="Times New Roman"/>
          <w:sz w:val="21"/>
          <w:szCs w:val="21"/>
        </w:rPr>
        <w:t>For MO configuration parameters: at least the following will have ability to be configured with height-dependent more-than-one configurations/values, each for a specific height region: SSB-ToMeasure. Details on how to specify is FFS.    FFS on UE behavior on L1 and L3 measurement.</w:t>
      </w:r>
    </w:p>
    <w:p>
      <w:pPr>
        <w:pStyle w:val="68"/>
        <w:numPr>
          <w:ilvl w:val="0"/>
          <w:numId w:val="4"/>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iCs/>
          <w:sz w:val="21"/>
          <w:szCs w:val="21"/>
        </w:rPr>
      </w:pPr>
      <w:bookmarkStart w:id="3" w:name="_Hlk134480185"/>
      <w:bookmarkStart w:id="4" w:name="_Hlk134480208"/>
      <w:r>
        <w:rPr>
          <w:rFonts w:ascii="Times New Roman" w:hAnsi="Times New Roman"/>
          <w:sz w:val="21"/>
          <w:szCs w:val="21"/>
        </w:rPr>
        <w:t xml:space="preserve"> For MR configuration parameters: at least the following will have ability to be configured with height-dependent more-than-one configurations/values, each for a specific height region: Event A4 threshold and numberoftriggeringcells.</w:t>
      </w:r>
      <w:r>
        <w:rPr>
          <w:rFonts w:ascii="Times New Roman" w:hAnsi="Times New Roman"/>
          <w:iCs/>
          <w:sz w:val="21"/>
          <w:szCs w:val="21"/>
        </w:rPr>
        <w:t xml:space="preserve">  Details on how to specify is FFS (i.e. maybe it can be achieved by combination of events).</w:t>
      </w:r>
      <w:bookmarkEnd w:id="3"/>
      <w:r>
        <w:rPr>
          <w:rFonts w:ascii="Times New Roman" w:hAnsi="Times New Roman"/>
          <w:iCs/>
          <w:sz w:val="21"/>
          <w:szCs w:val="21"/>
        </w:rPr>
        <w:t xml:space="preserve"> </w:t>
      </w:r>
      <w:bookmarkEnd w:id="4"/>
      <w:r>
        <w:rPr>
          <w:rFonts w:ascii="Times New Roman" w:hAnsi="Times New Roman"/>
          <w:iCs/>
          <w:sz w:val="21"/>
          <w:szCs w:val="21"/>
        </w:rPr>
        <w:t xml:space="preserve">  </w:t>
      </w:r>
    </w:p>
    <w:p>
      <w:pPr>
        <w:pStyle w:val="68"/>
        <w:numPr>
          <w:ilvl w:val="0"/>
          <w:numId w:val="4"/>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sz w:val="21"/>
          <w:szCs w:val="21"/>
        </w:rPr>
      </w:pPr>
      <w:r>
        <w:rPr>
          <w:rFonts w:ascii="Times New Roman" w:hAnsi="Times New Roman"/>
          <w:sz w:val="21"/>
          <w:szCs w:val="21"/>
        </w:rPr>
        <w:t>When height-dependent more-than-one configurations are provided, UE applies the new value once it moves to new height (or height range) similar to the case of RRC reconfiguration. Need Codes, field descriptions, etc. as in legacy specifications apply</w:t>
      </w:r>
    </w:p>
    <w:p>
      <w:pPr>
        <w:pStyle w:val="68"/>
        <w:numPr>
          <w:ilvl w:val="0"/>
          <w:numId w:val="4"/>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sz w:val="21"/>
          <w:szCs w:val="21"/>
        </w:rPr>
      </w:pPr>
      <w:r>
        <w:rPr>
          <w:rFonts w:ascii="Times New Roman" w:hAnsi="Times New Roman"/>
          <w:sz w:val="21"/>
          <w:szCs w:val="21"/>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pPr>
        <w:spacing w:after="0" w:line="240" w:lineRule="auto"/>
        <w:rPr>
          <w:szCs w:val="21"/>
        </w:rPr>
      </w:pPr>
      <w:r>
        <w:rPr>
          <w:rFonts w:hint="eastAsia"/>
          <w:szCs w:val="21"/>
        </w:rPr>
        <w:t>In RAN2#122[2], following agreements were reached:</w:t>
      </w:r>
    </w:p>
    <w:p>
      <w:pPr>
        <w:pBdr>
          <w:top w:val="single" w:color="auto" w:sz="4" w:space="1"/>
          <w:left w:val="single" w:color="auto" w:sz="4" w:space="4"/>
          <w:bottom w:val="single" w:color="auto" w:sz="4" w:space="1"/>
          <w:right w:val="single" w:color="auto" w:sz="4" w:space="4"/>
        </w:pBdr>
        <w:tabs>
          <w:tab w:val="left" w:pos="1622"/>
        </w:tabs>
        <w:spacing w:after="0" w:line="240" w:lineRule="auto"/>
        <w:ind w:left="1622" w:hanging="363"/>
        <w:rPr>
          <w:rFonts w:eastAsia="MS Mincho"/>
          <w:b/>
          <w:bCs/>
          <w:szCs w:val="21"/>
          <w:lang w:val="en-GB" w:eastAsia="en-GB"/>
        </w:rPr>
      </w:pPr>
      <w:r>
        <w:rPr>
          <w:rFonts w:eastAsia="MS Mincho"/>
          <w:b/>
          <w:bCs/>
          <w:szCs w:val="21"/>
          <w:lang w:val="en-GB" w:eastAsia="en-GB"/>
        </w:rPr>
        <w:t>Agreements</w:t>
      </w:r>
    </w:p>
    <w:p>
      <w:pPr>
        <w:numPr>
          <w:ilvl w:val="0"/>
          <w:numId w:val="5"/>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 xml:space="preserve">Add height-based list of SSB-ToMeasure with corresponding height ranges and hysteresis in MeasObjectNR.  FFS on the number of height ranges </w:t>
      </w:r>
    </w:p>
    <w:p>
      <w:pPr>
        <w:numPr>
          <w:ilvl w:val="0"/>
          <w:numId w:val="5"/>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 xml:space="preserve">As a basic principle, if no height-specific SSB-ToMeasure is configured for a specific height region, the legacy behaviour applies.  </w:t>
      </w:r>
    </w:p>
    <w:p>
      <w:pPr>
        <w:numPr>
          <w:ilvl w:val="0"/>
          <w:numId w:val="5"/>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For UE behavior on L1 and L3 measurement, it is left to UE implementation whether to keep/discard the old samples while UE moves to a new height region with a different SSB-ToMeasure value</w:t>
      </w:r>
    </w:p>
    <w:p>
      <w:pPr>
        <w:numPr>
          <w:ilvl w:val="0"/>
          <w:numId w:val="5"/>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pPr>
        <w:numPr>
          <w:ilvl w:val="0"/>
          <w:numId w:val="5"/>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Whether UE height is included when UAV specific MR is triggered is configurable by the network.</w:t>
      </w:r>
    </w:p>
    <w:p>
      <w:pPr>
        <w:numPr>
          <w:ilvl w:val="0"/>
          <w:numId w:val="5"/>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We will use LTE UEheight.</w:t>
      </w:r>
    </w:p>
    <w:p>
      <w:pPr>
        <w:spacing w:after="0" w:line="240" w:lineRule="auto"/>
        <w:rPr>
          <w:szCs w:val="21"/>
        </w:rPr>
      </w:pPr>
      <w:r>
        <w:rPr>
          <w:szCs w:val="21"/>
        </w:rPr>
        <w:t>In RAN2#123[3], following agreements were reached:</w:t>
      </w:r>
    </w:p>
    <w:p>
      <w:pPr>
        <w:widowControl/>
        <w:pBdr>
          <w:top w:val="single" w:color="auto" w:sz="4" w:space="1"/>
          <w:left w:val="single" w:color="auto" w:sz="4" w:space="4"/>
          <w:bottom w:val="single" w:color="auto" w:sz="4" w:space="1"/>
          <w:right w:val="single" w:color="auto" w:sz="4" w:space="4"/>
        </w:pBdr>
        <w:spacing w:after="0" w:line="240" w:lineRule="auto"/>
        <w:ind w:left="1622" w:hanging="363"/>
        <w:jc w:val="left"/>
        <w:rPr>
          <w:rFonts w:eastAsia="MS Mincho"/>
          <w:b/>
          <w:bCs/>
          <w:kern w:val="0"/>
          <w:szCs w:val="21"/>
        </w:rPr>
      </w:pPr>
      <w:r>
        <w:rPr>
          <w:rFonts w:eastAsia="MS Mincho"/>
          <w:b/>
          <w:bCs/>
          <w:kern w:val="0"/>
          <w:szCs w:val="21"/>
        </w:rPr>
        <w:t>Agreements:</w:t>
      </w:r>
    </w:p>
    <w:p>
      <w:pPr>
        <w:widowControl/>
        <w:pBdr>
          <w:top w:val="single" w:color="auto" w:sz="4" w:space="1"/>
          <w:left w:val="single" w:color="auto" w:sz="4" w:space="4"/>
          <w:bottom w:val="single" w:color="auto" w:sz="4" w:space="1"/>
          <w:right w:val="single" w:color="auto" w:sz="4" w:space="4"/>
        </w:pBdr>
        <w:spacing w:after="0" w:line="240" w:lineRule="auto"/>
        <w:ind w:left="1622" w:hanging="363"/>
        <w:jc w:val="left"/>
        <w:rPr>
          <w:rFonts w:eastAsia="MS Mincho"/>
          <w:i/>
          <w:iCs/>
          <w:kern w:val="0"/>
          <w:szCs w:val="21"/>
          <w:u w:val="single"/>
        </w:rPr>
      </w:pPr>
      <w:r>
        <w:rPr>
          <w:rFonts w:eastAsia="MS Mincho"/>
          <w:i/>
          <w:iCs/>
          <w:kern w:val="0"/>
          <w:szCs w:val="21"/>
          <w:u w:val="single"/>
        </w:rPr>
        <w:t>Measurement reporting</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New event type is introduced to implement both height-dependent MR configuration and combination of events</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The new event type includes only one of H1 or H2 thresholds.   A hysteresis for each threshold will be introduced.  A single time to trigger for the event will be introduced. Rapporteur will implement the solution and we can come back next meeting if there are technical issues.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Event combination of H1/H2 with A3, A4, A5 will be support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When the UE moves to a new height region with a different numberOfTriggeringCells value for one configured event, it is up to UE implementation whether the UE keeps the old measurement report or cellstriggeredlist</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At least 300m above ground level will be supported.  FFS if higher ranges can/need to be considered.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Signalling should allow the network to simultaneously configure height-based event thresholds for the whole range of possible UE heights</w:t>
      </w:r>
    </w:p>
    <w:p>
      <w:pPr>
        <w:widowControl/>
        <w:pBdr>
          <w:top w:val="single" w:color="auto" w:sz="4" w:space="1"/>
          <w:left w:val="single" w:color="auto" w:sz="4" w:space="4"/>
          <w:bottom w:val="single" w:color="auto" w:sz="4" w:space="1"/>
          <w:right w:val="single" w:color="auto" w:sz="4" w:space="4"/>
        </w:pBdr>
        <w:spacing w:after="0" w:line="240" w:lineRule="auto"/>
        <w:ind w:left="1259"/>
        <w:jc w:val="left"/>
        <w:rPr>
          <w:rFonts w:eastAsia="MS Mincho"/>
          <w:i/>
          <w:iCs/>
          <w:kern w:val="0"/>
          <w:szCs w:val="21"/>
          <w:u w:val="single"/>
        </w:rPr>
      </w:pPr>
      <w:r>
        <w:rPr>
          <w:rFonts w:eastAsia="MS Mincho"/>
          <w:i/>
          <w:iCs/>
          <w:kern w:val="0"/>
          <w:szCs w:val="21"/>
          <w:u w:val="single"/>
        </w:rPr>
        <w:t xml:space="preserve">Flight path update/reporting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No delta signaling for updated flight path will be supported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Confirm that same indication is used for both initial and updated flightpath plan</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If any waypoint/timestamp has changed more than the configured threshold the UE triggers flightpath update indication.</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When both distance and time threshold are configured, the flightpath update can be triggered if either of those conditions are met.   No prohibit timer will be introduced.  </w:t>
      </w:r>
    </w:p>
    <w:p>
      <w:pPr>
        <w:spacing w:after="0" w:line="240" w:lineRule="auto"/>
        <w:rPr>
          <w:szCs w:val="21"/>
        </w:rPr>
      </w:pPr>
      <w:r>
        <w:rPr>
          <w:rFonts w:hint="eastAsia"/>
          <w:szCs w:val="21"/>
        </w:rPr>
        <w:t xml:space="preserve">There are still some FFS issues related to height-dependent SSB-ToMeasure configuration. </w:t>
      </w:r>
      <w:r>
        <w:rPr>
          <w:szCs w:val="21"/>
        </w:rPr>
        <w:t>T</w:t>
      </w:r>
      <w:r>
        <w:rPr>
          <w:rFonts w:hint="eastAsia"/>
          <w:szCs w:val="21"/>
        </w:rPr>
        <w:t>his contribution</w:t>
      </w:r>
      <w:r>
        <w:rPr>
          <w:szCs w:val="21"/>
        </w:rPr>
        <w:t xml:space="preserve"> </w:t>
      </w:r>
      <w:r>
        <w:rPr>
          <w:rFonts w:hint="eastAsia"/>
          <w:szCs w:val="21"/>
        </w:rPr>
        <w:t>provide</w:t>
      </w:r>
      <w:r>
        <w:rPr>
          <w:szCs w:val="21"/>
        </w:rPr>
        <w:t>s</w:t>
      </w:r>
      <w:r>
        <w:rPr>
          <w:rFonts w:hint="eastAsia"/>
          <w:szCs w:val="21"/>
        </w:rPr>
        <w:t xml:space="preserve"> consideration</w:t>
      </w:r>
      <w:r>
        <w:rPr>
          <w:szCs w:val="21"/>
        </w:rPr>
        <w:t>s</w:t>
      </w:r>
      <w:r>
        <w:rPr>
          <w:rFonts w:hint="eastAsia"/>
          <w:szCs w:val="21"/>
        </w:rPr>
        <w:t xml:space="preserve"> </w:t>
      </w:r>
      <w:r>
        <w:rPr>
          <w:szCs w:val="21"/>
        </w:rPr>
        <w:t xml:space="preserve">and proposals </w:t>
      </w:r>
      <w:r>
        <w:rPr>
          <w:rFonts w:hint="eastAsia"/>
          <w:szCs w:val="21"/>
        </w:rPr>
        <w:t xml:space="preserve">on the </w:t>
      </w:r>
      <w:r>
        <w:rPr>
          <w:szCs w:val="21"/>
        </w:rPr>
        <w:t xml:space="preserve">FFS issues </w:t>
      </w:r>
      <w:r>
        <w:rPr>
          <w:rFonts w:hint="eastAsia"/>
          <w:szCs w:val="21"/>
        </w:rPr>
        <w:t xml:space="preserve">and remaining issues </w:t>
      </w:r>
      <w:r>
        <w:rPr>
          <w:szCs w:val="21"/>
        </w:rPr>
        <w:t>based on the agreements reached in previous meetings.</w:t>
      </w:r>
      <w:r>
        <w:rPr>
          <w:rFonts w:hint="eastAsia"/>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spacing w:after="0" w:line="240" w:lineRule="auto"/>
        <w:rPr>
          <w:szCs w:val="21"/>
        </w:rPr>
      </w:pPr>
      <w:r>
        <w:rPr>
          <w:rFonts w:hint="eastAsia"/>
          <w:szCs w:val="21"/>
        </w:rPr>
        <w:t>In RAN2</w:t>
      </w:r>
      <w:r>
        <w:rPr>
          <w:szCs w:val="21"/>
        </w:rPr>
        <w:t>#122</w:t>
      </w:r>
      <w:r>
        <w:rPr>
          <w:rFonts w:hint="eastAsia"/>
          <w:szCs w:val="21"/>
        </w:rPr>
        <w:t xml:space="preserve"> meeting[2], following agreement is reached about the height-dependent SSB-ToMeasure:</w:t>
      </w:r>
    </w:p>
    <w:p>
      <w:pPr>
        <w:numPr>
          <w:ilvl w:val="0"/>
          <w:numId w:val="7"/>
        </w:numPr>
        <w:pBdr>
          <w:top w:val="single" w:color="auto" w:sz="4" w:space="1"/>
          <w:left w:val="single" w:color="auto" w:sz="4" w:space="4"/>
          <w:bottom w:val="single" w:color="auto" w:sz="4" w:space="1"/>
          <w:right w:val="single" w:color="auto" w:sz="4" w:space="4"/>
        </w:pBdr>
        <w:tabs>
          <w:tab w:val="left" w:pos="1622"/>
        </w:tabs>
        <w:spacing w:after="0" w:line="240" w:lineRule="auto"/>
        <w:rPr>
          <w:rFonts w:eastAsia="MS Mincho"/>
          <w:szCs w:val="21"/>
          <w:lang w:val="en-GB" w:eastAsia="en-GB"/>
        </w:rPr>
      </w:pPr>
      <w:r>
        <w:rPr>
          <w:rFonts w:eastAsia="MS Mincho"/>
          <w:szCs w:val="21"/>
          <w:lang w:val="en-GB" w:eastAsia="en-GB"/>
        </w:rPr>
        <w:t xml:space="preserve">Add height-based list of SSB-ToMeasure with corresponding height ranges and hysteresis in MeasObjectNR.  </w:t>
      </w:r>
      <w:r>
        <w:rPr>
          <w:rFonts w:eastAsia="MS Mincho"/>
          <w:szCs w:val="21"/>
          <w:highlight w:val="cyan"/>
          <w:lang w:val="en-GB" w:eastAsia="en-GB"/>
        </w:rPr>
        <w:t xml:space="preserve">FFS on the number of height ranges </w:t>
      </w:r>
    </w:p>
    <w:p>
      <w:pPr>
        <w:spacing w:after="0" w:line="240" w:lineRule="auto"/>
        <w:jc w:val="left"/>
        <w:rPr>
          <w:szCs w:val="21"/>
        </w:rPr>
      </w:pPr>
      <w:r>
        <w:rPr>
          <w:rFonts w:hint="eastAsia"/>
          <w:szCs w:val="21"/>
        </w:rPr>
        <w:t>In our understanding, it is more flexible and future proof to allow more than one height range. Although in previous meetings, only above/below rooftop case is discussed, the real radio environment may be more complicated. Thus we propose RAN2 to agree that more than two height ranges can be configured.</w:t>
      </w:r>
      <w:r>
        <w:rPr>
          <w:szCs w:val="21"/>
        </w:rPr>
        <w:t xml:space="preserve"> Considering the potential height range to apply this mechanism, we think maybe 8 is enough.</w:t>
      </w:r>
    </w:p>
    <w:p>
      <w:pPr>
        <w:spacing w:after="0" w:line="240" w:lineRule="auto"/>
        <w:ind w:left="1069" w:hanging="1069" w:hangingChars="507"/>
        <w:jc w:val="left"/>
        <w:rPr>
          <w:b/>
          <w:bCs/>
          <w:szCs w:val="21"/>
        </w:rPr>
      </w:pPr>
      <w:r>
        <w:rPr>
          <w:rFonts w:hint="eastAsia"/>
          <w:b/>
          <w:bCs/>
          <w:szCs w:val="21"/>
        </w:rPr>
        <w:t xml:space="preserve">Proposal 1: </w:t>
      </w:r>
      <w:r>
        <w:rPr>
          <w:b/>
          <w:bCs/>
          <w:szCs w:val="21"/>
        </w:rPr>
        <w:t>The maximum number of height ranges can be 8.</w:t>
      </w:r>
    </w:p>
    <w:p>
      <w:pPr>
        <w:spacing w:after="0" w:line="240" w:lineRule="auto"/>
        <w:ind w:left="1069" w:hanging="1069" w:hangingChars="507"/>
        <w:jc w:val="left"/>
        <w:rPr>
          <w:b/>
          <w:bCs/>
          <w:szCs w:val="21"/>
        </w:rPr>
      </w:pPr>
    </w:p>
    <w:p>
      <w:pPr>
        <w:spacing w:after="0" w:line="240" w:lineRule="auto"/>
        <w:jc w:val="left"/>
        <w:rPr>
          <w:szCs w:val="21"/>
        </w:rPr>
      </w:pPr>
      <w:r>
        <w:rPr>
          <w:szCs w:val="21"/>
        </w:rPr>
        <w:t>In current running CR, the height-based SSB-ToMeasure is defined as following:</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SSB-ToMeasureHeightBased-r18 ::=     </w:t>
      </w:r>
      <w:r>
        <w:rPr>
          <w:rFonts w:ascii="Courier New" w:hAnsi="Courier New" w:eastAsia="Times New Roman"/>
          <w:color w:val="993366"/>
          <w:sz w:val="16"/>
          <w:szCs w:val="16"/>
        </w:rPr>
        <w:t>SEQUENCE</w:t>
      </w:r>
      <w:r>
        <w:rPr>
          <w:rFonts w:ascii="Courier New" w:hAnsi="Courier New" w:eastAsia="Times New Roman"/>
          <w:sz w:val="16"/>
          <w:szCs w:val="16"/>
        </w:rPr>
        <w:t xml:space="preserve"> {</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   heightRange-r18     </w:t>
      </w:r>
      <w:r>
        <w:rPr>
          <w:rFonts w:ascii="Courier New" w:hAnsi="Courier New" w:eastAsia="Times New Roman"/>
          <w:color w:val="993366"/>
          <w:sz w:val="16"/>
          <w:szCs w:val="16"/>
        </w:rPr>
        <w:t>SEQUENCE</w:t>
      </w:r>
      <w:r>
        <w:rPr>
          <w:rFonts w:ascii="Courier New" w:hAnsi="Courier New" w:eastAsia="Times New Roman"/>
          <w:sz w:val="16"/>
          <w:szCs w:val="16"/>
        </w:rPr>
        <w:t xml:space="preserve"> {</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      heightMin-r18       </w:t>
      </w:r>
      <w:r>
        <w:rPr>
          <w:rFonts w:ascii="Courier New" w:hAnsi="Courier New" w:eastAsia="Times New Roman"/>
          <w:color w:val="993366"/>
          <w:sz w:val="16"/>
          <w:szCs w:val="16"/>
        </w:rPr>
        <w:t>INTEGER</w:t>
      </w:r>
      <w:r>
        <w:rPr>
          <w:rFonts w:ascii="Courier New" w:hAnsi="Courier New" w:eastAsia="Times New Roman"/>
          <w:sz w:val="16"/>
          <w:szCs w:val="16"/>
        </w:rPr>
        <w:t xml:space="preserve"> (0..maxHeight-r18)   </w:t>
      </w:r>
      <w:r>
        <w:rPr>
          <w:rFonts w:ascii="Courier New" w:hAnsi="Courier New" w:eastAsia="Times New Roman"/>
          <w:color w:val="993366"/>
          <w:sz w:val="16"/>
          <w:szCs w:val="16"/>
        </w:rPr>
        <w:t>OPTIONAL</w:t>
      </w:r>
      <w:r>
        <w:rPr>
          <w:rFonts w:ascii="Courier New" w:hAnsi="Courier New" w:eastAsia="Times New Roman"/>
          <w:sz w:val="16"/>
          <w:szCs w:val="16"/>
        </w:rPr>
        <w:t>,</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      heightMax-r18       </w:t>
      </w:r>
      <w:r>
        <w:rPr>
          <w:rFonts w:ascii="Courier New" w:hAnsi="Courier New" w:eastAsia="Times New Roman"/>
          <w:color w:val="993366"/>
          <w:sz w:val="16"/>
          <w:szCs w:val="16"/>
        </w:rPr>
        <w:t>INTEGER</w:t>
      </w:r>
      <w:r>
        <w:rPr>
          <w:rFonts w:ascii="Courier New" w:hAnsi="Courier New" w:eastAsia="Times New Roman"/>
          <w:sz w:val="16"/>
          <w:szCs w:val="16"/>
        </w:rPr>
        <w:t xml:space="preserve"> (0..maxHeight-r18)   </w:t>
      </w:r>
      <w:r>
        <w:rPr>
          <w:rFonts w:ascii="Courier New" w:hAnsi="Courier New" w:eastAsia="Times New Roman"/>
          <w:color w:val="993366"/>
          <w:sz w:val="16"/>
          <w:szCs w:val="16"/>
        </w:rPr>
        <w:t>OPTIONAL</w:t>
      </w:r>
      <w:r>
        <w:rPr>
          <w:rFonts w:ascii="Courier New" w:hAnsi="Courier New" w:eastAsia="Times New Roman"/>
          <w:sz w:val="16"/>
          <w:szCs w:val="16"/>
        </w:rPr>
        <w:t>,</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      heightHyst-r18      </w:t>
      </w:r>
      <w:r>
        <w:rPr>
          <w:rFonts w:ascii="Courier New" w:hAnsi="Courier New" w:eastAsia="Times New Roman"/>
          <w:color w:val="993366"/>
          <w:sz w:val="16"/>
          <w:szCs w:val="16"/>
        </w:rPr>
        <w:t>INTEGER</w:t>
      </w:r>
      <w:r>
        <w:rPr>
          <w:rFonts w:ascii="Courier New" w:hAnsi="Courier New" w:eastAsia="Times New Roman"/>
          <w:sz w:val="16"/>
          <w:szCs w:val="16"/>
        </w:rPr>
        <w:t xml:space="preserve"> (0..maxHyst-r18)     </w:t>
      </w:r>
      <w:r>
        <w:rPr>
          <w:rFonts w:ascii="Courier New" w:hAnsi="Courier New" w:eastAsia="Times New Roman"/>
          <w:color w:val="993366"/>
          <w:sz w:val="16"/>
          <w:szCs w:val="16"/>
        </w:rPr>
        <w:t>OPTIONAL</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   },</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 xml:space="preserve">   ssb-ToMeasure-r18   SSB-ToMeasure</w:t>
      </w:r>
    </w:p>
    <w:p>
      <w:pPr>
        <w:shd w:val="clear" w:color="auto" w:fill="E6E6E6"/>
        <w:overflowPunct w:val="0"/>
        <w:autoSpaceDE w:val="0"/>
        <w:autoSpaceDN w:val="0"/>
        <w:adjustRightInd w:val="0"/>
        <w:snapToGrid w:val="0"/>
        <w:spacing w:after="0" w:line="240" w:lineRule="auto"/>
        <w:textAlignment w:val="baseline"/>
        <w:rPr>
          <w:rFonts w:ascii="Courier New" w:hAnsi="Courier New" w:eastAsia="Times New Roman"/>
          <w:sz w:val="16"/>
          <w:szCs w:val="16"/>
        </w:rPr>
      </w:pPr>
      <w:r>
        <w:rPr>
          <w:rFonts w:ascii="Courier New" w:hAnsi="Courier New" w:eastAsia="Times New Roman"/>
          <w:sz w:val="16"/>
          <w:szCs w:val="16"/>
        </w:rPr>
        <w:t>}</w:t>
      </w:r>
    </w:p>
    <w:p>
      <w:pPr>
        <w:snapToGrid w:val="0"/>
        <w:spacing w:after="0" w:line="240" w:lineRule="auto"/>
        <w:jc w:val="left"/>
        <w:rPr>
          <w:szCs w:val="21"/>
        </w:rPr>
      </w:pPr>
    </w:p>
    <w:tbl>
      <w:tblPr>
        <w:tblStyle w:val="5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Arial" w:hAnsi="Arial" w:eastAsia="Times New Roman"/>
                <w:b/>
                <w:kern w:val="0"/>
                <w:sz w:val="18"/>
                <w:szCs w:val="18"/>
              </w:rPr>
            </w:pPr>
            <w:r>
              <w:rPr>
                <w:rFonts w:ascii="Arial" w:hAnsi="Arial" w:eastAsia="Times New Roman"/>
                <w:b/>
                <w:i/>
                <w:sz w:val="18"/>
                <w:szCs w:val="18"/>
              </w:rPr>
              <w:t xml:space="preserve">MeasObjectNR </w:t>
            </w:r>
            <w:r>
              <w:rPr>
                <w:rFonts w:ascii="Arial" w:hAnsi="Arial" w:eastAsia="Times New Roman"/>
                <w:b/>
                <w:sz w:val="18"/>
                <w:szCs w:val="18"/>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b/>
                <w:i/>
                <w:kern w:val="0"/>
                <w:sz w:val="18"/>
                <w:szCs w:val="18"/>
              </w:rPr>
            </w:pPr>
            <w:r>
              <w:rPr>
                <w:rFonts w:ascii="Arial" w:hAnsi="Arial" w:eastAsia="Times New Roman"/>
                <w:b/>
                <w:i/>
                <w:sz w:val="18"/>
                <w:szCs w:val="18"/>
              </w:rPr>
              <w:t>ssb-ToMeasureHeightBasedList</w:t>
            </w:r>
          </w:p>
          <w:p>
            <w:pPr>
              <w:keepNext/>
              <w:keepLines/>
              <w:overflowPunct w:val="0"/>
              <w:autoSpaceDE w:val="0"/>
              <w:autoSpaceDN w:val="0"/>
              <w:adjustRightInd w:val="0"/>
              <w:snapToGrid w:val="0"/>
              <w:spacing w:after="0" w:line="240" w:lineRule="auto"/>
              <w:textAlignment w:val="baseline"/>
              <w:rPr>
                <w:rFonts w:ascii="Arial" w:hAnsi="Arial" w:eastAsia="Times New Roman"/>
                <w:bCs/>
                <w:iCs/>
                <w:sz w:val="18"/>
                <w:szCs w:val="18"/>
              </w:rPr>
            </w:pPr>
            <w:r>
              <w:rPr>
                <w:rFonts w:ascii="Arial" w:hAnsi="Arial" w:eastAsia="Times New Roman"/>
                <w:bCs/>
                <w:iCs/>
                <w:sz w:val="18"/>
                <w:szCs w:val="18"/>
              </w:rPr>
              <w:t xml:space="preserve">List of height-dependent </w:t>
            </w:r>
            <w:r>
              <w:rPr>
                <w:rFonts w:ascii="Arial" w:hAnsi="Arial" w:eastAsia="Times New Roman"/>
                <w:bCs/>
                <w:i/>
                <w:sz w:val="18"/>
                <w:szCs w:val="18"/>
              </w:rPr>
              <w:t>ssb-ToMeasure</w:t>
            </w:r>
            <w:r>
              <w:rPr>
                <w:rFonts w:ascii="Arial" w:hAnsi="Arial" w:eastAsia="Times New Roman"/>
                <w:bCs/>
                <w:iCs/>
                <w:sz w:val="18"/>
                <w:szCs w:val="18"/>
              </w:rPr>
              <w:t xml:space="preserve">. If this list is included, while the UE is within a height range indicated by </w:t>
            </w:r>
            <w:r>
              <w:rPr>
                <w:rFonts w:ascii="Arial" w:hAnsi="Arial" w:eastAsia="Times New Roman"/>
                <w:bCs/>
                <w:i/>
                <w:sz w:val="18"/>
                <w:szCs w:val="18"/>
              </w:rPr>
              <w:t>heightRange</w:t>
            </w:r>
            <w:r>
              <w:rPr>
                <w:rFonts w:ascii="Arial" w:hAnsi="Arial" w:eastAsia="Times New Roman"/>
                <w:bCs/>
                <w:iCs/>
                <w:sz w:val="18"/>
                <w:szCs w:val="18"/>
              </w:rPr>
              <w:t xml:space="preserve">, it applies corresponding </w:t>
            </w:r>
            <w:r>
              <w:rPr>
                <w:rFonts w:ascii="Arial" w:hAnsi="Arial" w:eastAsia="Times New Roman"/>
                <w:bCs/>
                <w:i/>
                <w:sz w:val="18"/>
                <w:szCs w:val="18"/>
              </w:rPr>
              <w:t>ssb-ToMeasure-r18</w:t>
            </w:r>
            <w:r>
              <w:rPr>
                <w:rFonts w:ascii="Arial" w:hAnsi="Arial" w:eastAsia="Times New Roman"/>
                <w:bCs/>
                <w:iCs/>
                <w:sz w:val="18"/>
                <w:szCs w:val="18"/>
              </w:rPr>
              <w:t xml:space="preserve"> for that height range and ignores </w:t>
            </w:r>
            <w:r>
              <w:rPr>
                <w:rFonts w:ascii="Arial" w:hAnsi="Arial" w:eastAsia="Times New Roman"/>
                <w:bCs/>
                <w:i/>
                <w:sz w:val="18"/>
                <w:szCs w:val="18"/>
              </w:rPr>
              <w:t xml:space="preserve">ssb-ToMeasure </w:t>
            </w:r>
            <w:r>
              <w:rPr>
                <w:rFonts w:ascii="Arial" w:hAnsi="Arial" w:eastAsia="Times New Roman"/>
                <w:bCs/>
                <w:iCs/>
                <w:sz w:val="18"/>
                <w:szCs w:val="18"/>
              </w:rPr>
              <w:t xml:space="preserve">(without suffix). When the UE is in a height range for which a corresponding </w:t>
            </w:r>
            <w:r>
              <w:rPr>
                <w:rFonts w:ascii="Arial" w:hAnsi="Arial" w:eastAsia="Times New Roman"/>
                <w:bCs/>
                <w:i/>
                <w:sz w:val="18"/>
                <w:szCs w:val="18"/>
              </w:rPr>
              <w:t>ssb-ToMeasure-r18</w:t>
            </w:r>
            <w:r>
              <w:rPr>
                <w:rFonts w:ascii="Arial" w:hAnsi="Arial" w:eastAsia="Times New Roman"/>
                <w:bCs/>
                <w:iCs/>
                <w:sz w:val="18"/>
                <w:szCs w:val="18"/>
              </w:rPr>
              <w:t xml:space="preserve"> is not configured, </w:t>
            </w:r>
            <w:r>
              <w:rPr>
                <w:rFonts w:ascii="Arial" w:hAnsi="Arial" w:eastAsia="Times New Roman"/>
                <w:bCs/>
                <w:i/>
                <w:sz w:val="18"/>
                <w:szCs w:val="18"/>
              </w:rPr>
              <w:t>ssb-ToMeasure</w:t>
            </w:r>
            <w:r>
              <w:rPr>
                <w:rFonts w:ascii="Arial" w:hAnsi="Arial" w:eastAsia="Times New Roman"/>
                <w:bCs/>
                <w:iCs/>
                <w:sz w:val="18"/>
                <w:szCs w:val="18"/>
              </w:rPr>
              <w:t xml:space="preserve"> (without suffix) applies.</w:t>
            </w:r>
          </w:p>
        </w:tc>
      </w:tr>
    </w:tbl>
    <w:p>
      <w:pPr>
        <w:spacing w:after="0" w:line="240" w:lineRule="auto"/>
        <w:jc w:val="left"/>
        <w:rPr>
          <w:szCs w:val="21"/>
        </w:rPr>
      </w:pPr>
    </w:p>
    <w:p>
      <w:pPr>
        <w:spacing w:after="0" w:line="240" w:lineRule="auto"/>
        <w:jc w:val="left"/>
        <w:rPr>
          <w:szCs w:val="21"/>
        </w:rPr>
      </w:pPr>
      <w:r>
        <w:rPr>
          <w:szCs w:val="21"/>
        </w:rPr>
        <w:t xml:space="preserve">It is unclear how </w:t>
      </w:r>
      <w:r>
        <w:rPr>
          <w:i/>
          <w:szCs w:val="21"/>
        </w:rPr>
        <w:t>heightHyst-18</w:t>
      </w:r>
      <w:r>
        <w:rPr>
          <w:szCs w:val="21"/>
        </w:rPr>
        <w:t xml:space="preserve"> is applied. </w:t>
      </w:r>
      <w:r>
        <w:rPr>
          <w:rFonts w:hint="eastAsia"/>
          <w:szCs w:val="21"/>
        </w:rPr>
        <w:t>In LTE</w:t>
      </w:r>
      <w:r>
        <w:rPr>
          <w:szCs w:val="21"/>
        </w:rPr>
        <w:t xml:space="preserve"> </w:t>
      </w:r>
      <w:r>
        <w:rPr>
          <w:rFonts w:hint="eastAsia"/>
          <w:szCs w:val="21"/>
        </w:rPr>
        <w:t xml:space="preserve">event H1 and H2, hysteresis is applied for both entering condition and leaving condition. </w:t>
      </w:r>
      <w:r>
        <w:rPr>
          <w:szCs w:val="21"/>
        </w:rPr>
        <w:t xml:space="preserve">For this </w:t>
      </w:r>
      <w:r>
        <w:rPr>
          <w:i/>
          <w:szCs w:val="21"/>
        </w:rPr>
        <w:t>heightHyst-r18</w:t>
      </w:r>
      <w:r>
        <w:rPr>
          <w:szCs w:val="21"/>
        </w:rPr>
        <w:t xml:space="preserve"> defined for height-based </w:t>
      </w:r>
      <w:r>
        <w:rPr>
          <w:i/>
          <w:szCs w:val="21"/>
        </w:rPr>
        <w:t>SSB-ToMeasure</w:t>
      </w:r>
      <w:r>
        <w:rPr>
          <w:szCs w:val="21"/>
        </w:rPr>
        <w:t xml:space="preserve">, we </w:t>
      </w:r>
      <w:r>
        <w:rPr>
          <w:rFonts w:hint="eastAsia"/>
          <w:szCs w:val="21"/>
        </w:rPr>
        <w:t xml:space="preserve">think it </w:t>
      </w:r>
      <w:r>
        <w:rPr>
          <w:szCs w:val="21"/>
        </w:rPr>
        <w:t xml:space="preserve">can </w:t>
      </w:r>
      <w:r>
        <w:rPr>
          <w:rFonts w:hint="eastAsia"/>
          <w:szCs w:val="21"/>
        </w:rPr>
        <w:t xml:space="preserve">be applied </w:t>
      </w:r>
      <w:r>
        <w:rPr>
          <w:szCs w:val="21"/>
        </w:rPr>
        <w:t xml:space="preserve">similarly. I.e. it is applied </w:t>
      </w:r>
      <w:r>
        <w:rPr>
          <w:rFonts w:hint="eastAsia"/>
          <w:szCs w:val="21"/>
        </w:rPr>
        <w:t xml:space="preserve">when UAV UE flying in and flying out </w:t>
      </w:r>
      <w:r>
        <w:rPr>
          <w:szCs w:val="21"/>
        </w:rPr>
        <w:t>of</w:t>
      </w:r>
      <w:r>
        <w:rPr>
          <w:rFonts w:hint="eastAsia"/>
          <w:szCs w:val="21"/>
        </w:rPr>
        <w:t xml:space="preserve"> </w:t>
      </w:r>
      <w:r>
        <w:rPr>
          <w:szCs w:val="21"/>
        </w:rPr>
        <w:t xml:space="preserve">the </w:t>
      </w:r>
      <w:r>
        <w:rPr>
          <w:rFonts w:hint="eastAsia"/>
          <w:szCs w:val="21"/>
        </w:rPr>
        <w:t>height range.</w:t>
      </w:r>
    </w:p>
    <w:p>
      <w:pPr>
        <w:spacing w:after="0" w:line="240" w:lineRule="auto"/>
        <w:jc w:val="left"/>
        <w:rPr>
          <w:szCs w:val="21"/>
        </w:rPr>
      </w:pPr>
      <w:r>
        <w:rPr>
          <w:szCs w:val="21"/>
        </w:rPr>
        <w:t xml:space="preserve">For example, the </w:t>
      </w:r>
      <w:r>
        <w:rPr>
          <w:rFonts w:hint="eastAsia"/>
          <w:szCs w:val="21"/>
        </w:rPr>
        <w:t>entering</w:t>
      </w:r>
      <w:r>
        <w:rPr>
          <w:szCs w:val="21"/>
        </w:rPr>
        <w:t xml:space="preserve"> </w:t>
      </w:r>
      <w:r>
        <w:rPr>
          <w:rFonts w:hint="eastAsia"/>
          <w:szCs w:val="21"/>
        </w:rPr>
        <w:t>con</w:t>
      </w:r>
      <w:r>
        <w:rPr>
          <w:szCs w:val="21"/>
        </w:rPr>
        <w:t>dition can be defined as following (flying into the range)</w:t>
      </w:r>
    </w:p>
    <w:p>
      <w:pPr>
        <w:spacing w:after="0" w:line="240" w:lineRule="auto"/>
        <w:ind w:firstLine="420"/>
        <w:jc w:val="left"/>
        <w:rPr>
          <w:szCs w:val="21"/>
        </w:rPr>
      </w:pPr>
      <w:r>
        <w:rPr>
          <w:szCs w:val="21"/>
        </w:rPr>
        <w:t xml:space="preserve">current height – </w:t>
      </w:r>
      <w:r>
        <w:rPr>
          <w:i/>
          <w:szCs w:val="21"/>
        </w:rPr>
        <w:t>heightHyst-r18</w:t>
      </w:r>
      <w:r>
        <w:rPr>
          <w:szCs w:val="21"/>
        </w:rPr>
        <w:t xml:space="preserve"> &gt; </w:t>
      </w:r>
      <w:r>
        <w:rPr>
          <w:i/>
          <w:szCs w:val="21"/>
        </w:rPr>
        <w:t>heightMin-r18,</w:t>
      </w:r>
      <w:r>
        <w:rPr>
          <w:szCs w:val="21"/>
        </w:rPr>
        <w:t xml:space="preserve"> or, </w:t>
      </w:r>
    </w:p>
    <w:p>
      <w:pPr>
        <w:spacing w:after="0" w:line="240" w:lineRule="auto"/>
        <w:ind w:firstLine="420"/>
        <w:jc w:val="left"/>
        <w:rPr>
          <w:szCs w:val="21"/>
        </w:rPr>
      </w:pPr>
      <w:r>
        <w:rPr>
          <w:szCs w:val="21"/>
        </w:rPr>
        <w:t xml:space="preserve">current height + </w:t>
      </w:r>
      <w:r>
        <w:rPr>
          <w:rFonts w:hint="eastAsia"/>
          <w:i/>
          <w:szCs w:val="21"/>
        </w:rPr>
        <w:t>height</w:t>
      </w:r>
      <w:r>
        <w:rPr>
          <w:i/>
          <w:szCs w:val="21"/>
        </w:rPr>
        <w:t>Hyst-r18</w:t>
      </w:r>
      <w:r>
        <w:rPr>
          <w:szCs w:val="21"/>
        </w:rPr>
        <w:t xml:space="preserve"> &lt; </w:t>
      </w:r>
      <w:r>
        <w:rPr>
          <w:i/>
          <w:szCs w:val="21"/>
        </w:rPr>
        <w:t>heightMax-r18</w:t>
      </w:r>
    </w:p>
    <w:p>
      <w:pPr>
        <w:spacing w:after="0" w:line="240" w:lineRule="auto"/>
        <w:jc w:val="left"/>
        <w:rPr>
          <w:szCs w:val="21"/>
        </w:rPr>
      </w:pPr>
      <w:r>
        <w:rPr>
          <w:szCs w:val="21"/>
        </w:rPr>
        <w:t>The leaving condition can be defined as following (flying out of the range):</w:t>
      </w:r>
    </w:p>
    <w:p>
      <w:pPr>
        <w:spacing w:after="0" w:line="240" w:lineRule="auto"/>
        <w:jc w:val="left"/>
        <w:rPr>
          <w:szCs w:val="21"/>
        </w:rPr>
      </w:pPr>
      <w:r>
        <w:rPr>
          <w:szCs w:val="21"/>
        </w:rPr>
        <w:tab/>
      </w:r>
      <w:r>
        <w:rPr>
          <w:szCs w:val="21"/>
        </w:rPr>
        <w:t xml:space="preserve">current height + </w:t>
      </w:r>
      <w:r>
        <w:rPr>
          <w:i/>
          <w:szCs w:val="21"/>
        </w:rPr>
        <w:t>heightHyst-</w:t>
      </w:r>
      <w:r>
        <w:rPr>
          <w:rFonts w:hint="eastAsia"/>
          <w:i/>
          <w:szCs w:val="21"/>
        </w:rPr>
        <w:t>r</w:t>
      </w:r>
      <w:r>
        <w:rPr>
          <w:i/>
          <w:szCs w:val="21"/>
        </w:rPr>
        <w:t>1</w:t>
      </w:r>
      <w:r>
        <w:rPr>
          <w:rFonts w:hint="eastAsia"/>
          <w:i/>
          <w:szCs w:val="21"/>
        </w:rPr>
        <w:t>8</w:t>
      </w:r>
      <w:r>
        <w:rPr>
          <w:szCs w:val="21"/>
        </w:rPr>
        <w:t xml:space="preserve"> &lt; </w:t>
      </w:r>
      <w:r>
        <w:rPr>
          <w:i/>
          <w:szCs w:val="21"/>
        </w:rPr>
        <w:t>heightMin-r18</w:t>
      </w:r>
      <w:r>
        <w:rPr>
          <w:szCs w:val="21"/>
        </w:rPr>
        <w:t>, or</w:t>
      </w:r>
    </w:p>
    <w:p>
      <w:pPr>
        <w:spacing w:after="0" w:line="240" w:lineRule="auto"/>
        <w:jc w:val="left"/>
        <w:rPr>
          <w:rFonts w:hint="eastAsia"/>
          <w:szCs w:val="21"/>
        </w:rPr>
      </w:pPr>
      <w:r>
        <w:rPr>
          <w:szCs w:val="21"/>
        </w:rPr>
        <w:tab/>
      </w:r>
      <w:r>
        <w:rPr>
          <w:szCs w:val="21"/>
        </w:rPr>
        <w:t xml:space="preserve">current height – </w:t>
      </w:r>
      <w:r>
        <w:rPr>
          <w:i/>
          <w:szCs w:val="21"/>
        </w:rPr>
        <w:t>heightHyst-r18</w:t>
      </w:r>
      <w:r>
        <w:rPr>
          <w:szCs w:val="21"/>
        </w:rPr>
        <w:t xml:space="preserve"> &gt; </w:t>
      </w:r>
      <w:r>
        <w:rPr>
          <w:i/>
          <w:szCs w:val="21"/>
        </w:rPr>
        <w:t>heightMax-r18</w:t>
      </w:r>
    </w:p>
    <w:p>
      <w:pPr>
        <w:spacing w:after="0" w:line="240" w:lineRule="auto"/>
        <w:ind w:left="1069" w:hanging="1069" w:hangingChars="507"/>
        <w:jc w:val="left"/>
        <w:rPr>
          <w:rFonts w:hint="eastAsia"/>
          <w:b/>
          <w:bCs/>
          <w:szCs w:val="21"/>
        </w:rPr>
      </w:pPr>
      <w:r>
        <w:rPr>
          <w:rFonts w:hint="eastAsia"/>
          <w:b/>
          <w:bCs/>
          <w:szCs w:val="21"/>
        </w:rPr>
        <w:t xml:space="preserve">Proposal 2: </w:t>
      </w:r>
      <w:r>
        <w:rPr>
          <w:rFonts w:hint="eastAsia"/>
          <w:b/>
          <w:bCs/>
          <w:szCs w:val="21"/>
          <w:lang w:val="en-US" w:eastAsia="zh-CN"/>
        </w:rPr>
        <w:t>The</w:t>
      </w:r>
      <w:r>
        <w:rPr>
          <w:b/>
          <w:bCs/>
          <w:i/>
          <w:szCs w:val="21"/>
        </w:rPr>
        <w:t xml:space="preserve"> heightHyst-r18</w:t>
      </w:r>
      <w:r>
        <w:rPr>
          <w:rFonts w:hint="eastAsia"/>
          <w:b/>
          <w:bCs/>
          <w:szCs w:val="21"/>
        </w:rPr>
        <w:t xml:space="preserve"> </w:t>
      </w:r>
      <w:r>
        <w:rPr>
          <w:rFonts w:hint="eastAsia"/>
          <w:b/>
          <w:bCs/>
          <w:szCs w:val="21"/>
          <w:lang w:val="en-US" w:eastAsia="zh-CN"/>
        </w:rPr>
        <w:t xml:space="preserve">IE </w:t>
      </w:r>
      <w:r>
        <w:rPr>
          <w:rFonts w:hint="eastAsia"/>
          <w:b/>
          <w:bCs/>
          <w:szCs w:val="21"/>
        </w:rPr>
        <w:t xml:space="preserve">is applied for both entering and leaving </w:t>
      </w:r>
      <w:r>
        <w:rPr>
          <w:b/>
          <w:bCs/>
          <w:szCs w:val="21"/>
        </w:rPr>
        <w:t>the</w:t>
      </w:r>
      <w:r>
        <w:rPr>
          <w:rFonts w:hint="eastAsia"/>
          <w:b/>
          <w:bCs/>
          <w:szCs w:val="21"/>
        </w:rPr>
        <w:t xml:space="preserve"> height range. </w:t>
      </w:r>
    </w:p>
    <w:p>
      <w:pPr>
        <w:spacing w:after="0" w:line="240" w:lineRule="auto"/>
        <w:ind w:left="1069" w:hanging="1069" w:hangingChars="507"/>
        <w:jc w:val="left"/>
        <w:rPr>
          <w:rFonts w:hint="eastAsia"/>
          <w:b/>
          <w:bCs/>
          <w:szCs w:val="21"/>
          <w:lang w:val="en-US" w:eastAsia="zh-CN"/>
        </w:rPr>
      </w:pPr>
      <w:r>
        <w:rPr>
          <w:rFonts w:hint="eastAsia"/>
          <w:b/>
          <w:bCs/>
          <w:szCs w:val="21"/>
          <w:lang w:val="en-US" w:eastAsia="zh-CN"/>
        </w:rPr>
        <w:t>Proposal 3: T</w:t>
      </w:r>
      <w:r>
        <w:rPr>
          <w:b/>
          <w:bCs/>
          <w:szCs w:val="21"/>
        </w:rPr>
        <w:t xml:space="preserve">o capture in the specification how to apply the </w:t>
      </w:r>
      <w:r>
        <w:rPr>
          <w:b/>
          <w:bCs/>
          <w:i/>
          <w:szCs w:val="21"/>
        </w:rPr>
        <w:t>heightHsyt-r18</w:t>
      </w:r>
      <w:r>
        <w:rPr>
          <w:rFonts w:hint="eastAsia"/>
          <w:b/>
          <w:bCs/>
          <w:i/>
          <w:szCs w:val="21"/>
          <w:lang w:val="en-US" w:eastAsia="zh-CN"/>
        </w:rPr>
        <w:t xml:space="preserve"> </w:t>
      </w:r>
      <w:r>
        <w:rPr>
          <w:rFonts w:hint="eastAsia"/>
          <w:b/>
          <w:bCs/>
          <w:i w:val="0"/>
          <w:iCs/>
          <w:szCs w:val="21"/>
          <w:lang w:val="en-US" w:eastAsia="zh-CN"/>
        </w:rPr>
        <w:t>in</w:t>
      </w:r>
      <w:r>
        <w:rPr>
          <w:rFonts w:hint="eastAsia"/>
          <w:b/>
          <w:bCs/>
          <w:i w:val="0"/>
          <w:iCs/>
          <w:szCs w:val="21"/>
        </w:rPr>
        <w:t xml:space="preserve"> height-based SSB-ToMeasure</w:t>
      </w:r>
      <w:r>
        <w:rPr>
          <w:rFonts w:hint="eastAsia"/>
          <w:b/>
          <w:bCs/>
          <w:i w:val="0"/>
          <w:iCs/>
          <w:szCs w:val="21"/>
          <w:lang w:val="en-US" w:eastAsia="zh-CN"/>
        </w:rPr>
        <w:t xml:space="preserve"> configuration</w:t>
      </w:r>
      <w:r>
        <w:rPr>
          <w:rFonts w:hint="eastAsia"/>
          <w:b/>
          <w:bCs/>
          <w:szCs w:val="21"/>
          <w:lang w:val="en-US" w:eastAsia="zh-CN"/>
        </w:rPr>
        <w:t>:</w:t>
      </w:r>
    </w:p>
    <w:p>
      <w:pPr>
        <w:numPr>
          <w:ilvl w:val="0"/>
          <w:numId w:val="8"/>
        </w:numPr>
        <w:spacing w:after="0" w:line="240" w:lineRule="auto"/>
        <w:ind w:left="1470" w:leftChars="500" w:hanging="420" w:firstLineChars="0"/>
        <w:jc w:val="left"/>
        <w:rPr>
          <w:rFonts w:hint="eastAsia" w:eastAsiaTheme="minorEastAsia"/>
          <w:b w:val="0"/>
          <w:bCs w:val="0"/>
          <w:szCs w:val="21"/>
          <w:lang w:val="en-US" w:eastAsia="zh-CN"/>
        </w:rPr>
      </w:pPr>
      <w:r>
        <w:rPr>
          <w:rFonts w:hint="eastAsia"/>
          <w:b w:val="0"/>
          <w:bCs w:val="0"/>
          <w:szCs w:val="21"/>
          <w:lang w:val="en-US" w:eastAsia="zh-CN"/>
        </w:rPr>
        <w:t>T</w:t>
      </w:r>
      <w:r>
        <w:rPr>
          <w:b w:val="0"/>
          <w:bCs w:val="0"/>
          <w:szCs w:val="21"/>
        </w:rPr>
        <w:t xml:space="preserve">he </w:t>
      </w:r>
      <w:r>
        <w:rPr>
          <w:rFonts w:hint="eastAsia"/>
          <w:b w:val="0"/>
          <w:bCs w:val="0"/>
          <w:szCs w:val="21"/>
        </w:rPr>
        <w:t>entering</w:t>
      </w:r>
      <w:r>
        <w:rPr>
          <w:b w:val="0"/>
          <w:bCs w:val="0"/>
          <w:szCs w:val="21"/>
        </w:rPr>
        <w:t xml:space="preserve"> </w:t>
      </w:r>
      <w:r>
        <w:rPr>
          <w:rFonts w:hint="eastAsia"/>
          <w:b w:val="0"/>
          <w:bCs w:val="0"/>
          <w:szCs w:val="21"/>
        </w:rPr>
        <w:t>con</w:t>
      </w:r>
      <w:r>
        <w:rPr>
          <w:b w:val="0"/>
          <w:bCs w:val="0"/>
          <w:szCs w:val="21"/>
        </w:rPr>
        <w:t>dition can be defined as following (flying into the range)</w:t>
      </w:r>
      <w:r>
        <w:rPr>
          <w:rFonts w:hint="eastAsia"/>
          <w:b w:val="0"/>
          <w:bCs w:val="0"/>
          <w:szCs w:val="21"/>
          <w:lang w:val="en-US" w:eastAsia="zh-CN"/>
        </w:rPr>
        <w:t>:</w:t>
      </w:r>
    </w:p>
    <w:p>
      <w:pPr>
        <w:numPr>
          <w:ilvl w:val="0"/>
          <w:numId w:val="0"/>
        </w:numPr>
        <w:spacing w:after="0" w:line="240" w:lineRule="auto"/>
        <w:ind w:left="1470" w:leftChars="700"/>
        <w:jc w:val="left"/>
        <w:rPr>
          <w:b w:val="0"/>
          <w:bCs w:val="0"/>
          <w:szCs w:val="21"/>
        </w:rPr>
      </w:pPr>
      <w:r>
        <w:rPr>
          <w:b w:val="0"/>
          <w:bCs w:val="0"/>
          <w:szCs w:val="21"/>
        </w:rPr>
        <w:t xml:space="preserve">current height – </w:t>
      </w:r>
      <w:r>
        <w:rPr>
          <w:b w:val="0"/>
          <w:bCs w:val="0"/>
          <w:i/>
          <w:szCs w:val="21"/>
        </w:rPr>
        <w:t>heightHyst-r18</w:t>
      </w:r>
      <w:r>
        <w:rPr>
          <w:b w:val="0"/>
          <w:bCs w:val="0"/>
          <w:szCs w:val="21"/>
        </w:rPr>
        <w:t xml:space="preserve"> &gt; </w:t>
      </w:r>
      <w:r>
        <w:rPr>
          <w:b w:val="0"/>
          <w:bCs w:val="0"/>
          <w:i/>
          <w:szCs w:val="21"/>
        </w:rPr>
        <w:t>heightMin-r18,</w:t>
      </w:r>
      <w:r>
        <w:rPr>
          <w:b w:val="0"/>
          <w:bCs w:val="0"/>
          <w:szCs w:val="21"/>
        </w:rPr>
        <w:t xml:space="preserve"> or, </w:t>
      </w:r>
    </w:p>
    <w:p>
      <w:pPr>
        <w:numPr>
          <w:ilvl w:val="0"/>
          <w:numId w:val="0"/>
        </w:numPr>
        <w:spacing w:after="0" w:line="240" w:lineRule="auto"/>
        <w:ind w:left="1470" w:leftChars="700"/>
        <w:jc w:val="left"/>
        <w:rPr>
          <w:b w:val="0"/>
          <w:bCs w:val="0"/>
          <w:szCs w:val="21"/>
        </w:rPr>
      </w:pPr>
      <w:r>
        <w:rPr>
          <w:b w:val="0"/>
          <w:bCs w:val="0"/>
          <w:szCs w:val="21"/>
        </w:rPr>
        <w:t xml:space="preserve">current height + </w:t>
      </w:r>
      <w:r>
        <w:rPr>
          <w:rFonts w:hint="eastAsia"/>
          <w:b w:val="0"/>
          <w:bCs w:val="0"/>
          <w:i/>
          <w:szCs w:val="21"/>
        </w:rPr>
        <w:t>height</w:t>
      </w:r>
      <w:r>
        <w:rPr>
          <w:b w:val="0"/>
          <w:bCs w:val="0"/>
          <w:i/>
          <w:szCs w:val="21"/>
        </w:rPr>
        <w:t>Hyst-r18</w:t>
      </w:r>
      <w:r>
        <w:rPr>
          <w:b w:val="0"/>
          <w:bCs w:val="0"/>
          <w:szCs w:val="21"/>
        </w:rPr>
        <w:t xml:space="preserve"> &lt; </w:t>
      </w:r>
      <w:r>
        <w:rPr>
          <w:b w:val="0"/>
          <w:bCs w:val="0"/>
          <w:i/>
          <w:szCs w:val="21"/>
        </w:rPr>
        <w:t>heightMax-r18</w:t>
      </w:r>
    </w:p>
    <w:p>
      <w:pPr>
        <w:numPr>
          <w:ilvl w:val="0"/>
          <w:numId w:val="8"/>
        </w:numPr>
        <w:spacing w:after="0" w:line="240" w:lineRule="auto"/>
        <w:ind w:left="1470" w:leftChars="500" w:hanging="420" w:firstLineChars="0"/>
        <w:jc w:val="left"/>
        <w:rPr>
          <w:b w:val="0"/>
          <w:bCs w:val="0"/>
          <w:szCs w:val="21"/>
        </w:rPr>
      </w:pPr>
      <w:r>
        <w:rPr>
          <w:b w:val="0"/>
          <w:bCs w:val="0"/>
          <w:szCs w:val="21"/>
        </w:rPr>
        <w:t>The leaving condition can be defined as following (flying out of the range):</w:t>
      </w:r>
    </w:p>
    <w:p>
      <w:pPr>
        <w:numPr>
          <w:ilvl w:val="0"/>
          <w:numId w:val="0"/>
        </w:numPr>
        <w:spacing w:after="0" w:line="240" w:lineRule="auto"/>
        <w:ind w:left="1470" w:leftChars="700"/>
        <w:jc w:val="left"/>
        <w:rPr>
          <w:b w:val="0"/>
          <w:bCs w:val="0"/>
          <w:szCs w:val="21"/>
        </w:rPr>
      </w:pPr>
      <w:r>
        <w:rPr>
          <w:b w:val="0"/>
          <w:bCs w:val="0"/>
          <w:szCs w:val="21"/>
        </w:rPr>
        <w:t xml:space="preserve">current height + </w:t>
      </w:r>
      <w:r>
        <w:rPr>
          <w:b w:val="0"/>
          <w:bCs w:val="0"/>
          <w:i/>
          <w:szCs w:val="21"/>
        </w:rPr>
        <w:t>heightHyst-</w:t>
      </w:r>
      <w:r>
        <w:rPr>
          <w:rFonts w:hint="eastAsia"/>
          <w:b w:val="0"/>
          <w:bCs w:val="0"/>
          <w:i/>
          <w:szCs w:val="21"/>
        </w:rPr>
        <w:t>r</w:t>
      </w:r>
      <w:r>
        <w:rPr>
          <w:b w:val="0"/>
          <w:bCs w:val="0"/>
          <w:i/>
          <w:szCs w:val="21"/>
        </w:rPr>
        <w:t>1</w:t>
      </w:r>
      <w:r>
        <w:rPr>
          <w:rFonts w:hint="eastAsia"/>
          <w:b w:val="0"/>
          <w:bCs w:val="0"/>
          <w:i/>
          <w:szCs w:val="21"/>
        </w:rPr>
        <w:t>8</w:t>
      </w:r>
      <w:r>
        <w:rPr>
          <w:b w:val="0"/>
          <w:bCs w:val="0"/>
          <w:szCs w:val="21"/>
        </w:rPr>
        <w:t xml:space="preserve"> &lt; </w:t>
      </w:r>
      <w:r>
        <w:rPr>
          <w:b w:val="0"/>
          <w:bCs w:val="0"/>
          <w:i/>
          <w:szCs w:val="21"/>
        </w:rPr>
        <w:t>heightMin-r18</w:t>
      </w:r>
      <w:r>
        <w:rPr>
          <w:b w:val="0"/>
          <w:bCs w:val="0"/>
          <w:szCs w:val="21"/>
        </w:rPr>
        <w:t>, or</w:t>
      </w:r>
    </w:p>
    <w:p>
      <w:pPr>
        <w:numPr>
          <w:ilvl w:val="0"/>
          <w:numId w:val="0"/>
        </w:numPr>
        <w:spacing w:after="0" w:line="240" w:lineRule="auto"/>
        <w:ind w:left="1470" w:leftChars="700"/>
        <w:jc w:val="left"/>
        <w:rPr>
          <w:rFonts w:hint="eastAsia"/>
          <w:b w:val="0"/>
          <w:bCs w:val="0"/>
          <w:szCs w:val="21"/>
        </w:rPr>
      </w:pPr>
      <w:r>
        <w:rPr>
          <w:b w:val="0"/>
          <w:bCs w:val="0"/>
          <w:szCs w:val="21"/>
        </w:rPr>
        <w:t xml:space="preserve">current height – </w:t>
      </w:r>
      <w:r>
        <w:rPr>
          <w:b w:val="0"/>
          <w:bCs w:val="0"/>
          <w:i/>
          <w:szCs w:val="21"/>
        </w:rPr>
        <w:t>heightHyst-r18</w:t>
      </w:r>
      <w:r>
        <w:rPr>
          <w:b w:val="0"/>
          <w:bCs w:val="0"/>
          <w:szCs w:val="21"/>
        </w:rPr>
        <w:t xml:space="preserve"> &gt; </w:t>
      </w:r>
      <w:r>
        <w:rPr>
          <w:b w:val="0"/>
          <w:bCs w:val="0"/>
          <w:i/>
          <w:szCs w:val="21"/>
        </w:rPr>
        <w:t>heightMax-r18</w:t>
      </w:r>
    </w:p>
    <w:p>
      <w:pPr>
        <w:spacing w:after="0" w:line="240" w:lineRule="auto"/>
        <w:jc w:val="left"/>
        <w:rPr>
          <w:b/>
          <w:bCs/>
          <w:szCs w:val="21"/>
        </w:rPr>
      </w:pPr>
    </w:p>
    <w:p>
      <w:pPr>
        <w:spacing w:after="0" w:line="240" w:lineRule="auto"/>
        <w:jc w:val="left"/>
        <w:rPr>
          <w:szCs w:val="21"/>
        </w:rPr>
      </w:pPr>
      <w:r>
        <w:rPr>
          <w:rFonts w:hint="eastAsia"/>
          <w:szCs w:val="21"/>
        </w:rPr>
        <w:t xml:space="preserve">If more than two height range can be configured, the adjacent height ranges may be overlapped. </w:t>
      </w:r>
      <w:r>
        <w:rPr>
          <w:szCs w:val="21"/>
        </w:rPr>
        <w:t>Following is an example of height range overlapping without taking account hysteresis. Note when the hysteresis is taking into account, the overlapping situation maybe a little more complicated.</w:t>
      </w:r>
    </w:p>
    <w:p>
      <w:pPr>
        <w:spacing w:after="120" w:line="240" w:lineRule="auto"/>
        <w:jc w:val="center"/>
        <w:rPr>
          <w:szCs w:val="21"/>
        </w:rPr>
      </w:pPr>
      <w:r>
        <w:rPr>
          <w:szCs w:val="21"/>
        </w:rPr>
        <w:object>
          <v:shape id="_x0000_i1025" o:spt="75" type="#_x0000_t75" style="height:141pt;width:195.7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pacing w:after="0" w:line="240" w:lineRule="auto"/>
        <w:jc w:val="center"/>
        <w:rPr>
          <w:szCs w:val="21"/>
        </w:rPr>
      </w:pPr>
      <w:r>
        <w:rPr>
          <w:szCs w:val="21"/>
        </w:rPr>
        <w:t>F</w:t>
      </w:r>
      <w:r>
        <w:rPr>
          <w:rFonts w:hint="eastAsia"/>
          <w:szCs w:val="21"/>
        </w:rPr>
        <w:t>igure</w:t>
      </w:r>
      <w:r>
        <w:rPr>
          <w:szCs w:val="21"/>
        </w:rPr>
        <w:t xml:space="preserve"> 1: illustration of overlapping in height range</w:t>
      </w:r>
    </w:p>
    <w:p>
      <w:pPr>
        <w:spacing w:after="0" w:line="240" w:lineRule="auto"/>
        <w:jc w:val="center"/>
        <w:rPr>
          <w:szCs w:val="21"/>
        </w:rPr>
      </w:pPr>
    </w:p>
    <w:p>
      <w:pPr>
        <w:spacing w:after="0" w:line="240" w:lineRule="auto"/>
        <w:jc w:val="left"/>
        <w:rPr>
          <w:szCs w:val="21"/>
        </w:rPr>
      </w:pPr>
      <w:r>
        <w:rPr>
          <w:szCs w:val="21"/>
        </w:rPr>
        <w:t>First of all, RAN2 should decide whether such overlapping configuration</w:t>
      </w:r>
      <w:r>
        <w:rPr>
          <w:rFonts w:hint="eastAsia"/>
          <w:szCs w:val="21"/>
        </w:rPr>
        <w:t xml:space="preserve"> in height range is </w:t>
      </w:r>
      <w:r>
        <w:rPr>
          <w:szCs w:val="21"/>
        </w:rPr>
        <w:t xml:space="preserve">allowed. In our understanding, such overlapping in height range is </w:t>
      </w:r>
      <w:r>
        <w:rPr>
          <w:rFonts w:hint="eastAsia"/>
          <w:szCs w:val="21"/>
        </w:rPr>
        <w:t>contradictory to the intention of height</w:t>
      </w:r>
      <w:r>
        <w:rPr>
          <w:szCs w:val="21"/>
        </w:rPr>
        <w:t>-based</w:t>
      </w:r>
      <w:r>
        <w:rPr>
          <w:rFonts w:hint="eastAsia"/>
          <w:szCs w:val="21"/>
        </w:rPr>
        <w:t xml:space="preserve"> </w:t>
      </w:r>
      <w:r>
        <w:rPr>
          <w:rFonts w:hint="eastAsia"/>
          <w:i/>
          <w:iCs/>
          <w:szCs w:val="21"/>
        </w:rPr>
        <w:t xml:space="preserve">SSB-ToMeasure </w:t>
      </w:r>
      <w:r>
        <w:rPr>
          <w:rFonts w:hint="eastAsia"/>
          <w:szCs w:val="21"/>
        </w:rPr>
        <w:t xml:space="preserve">mechanism, i.e. to reduce unnecessary beam measurement. </w:t>
      </w:r>
      <w:r>
        <w:rPr>
          <w:szCs w:val="21"/>
        </w:rPr>
        <w:t xml:space="preserve">On the other hand, the coverage of beams may be overlapped in a height range. But the network can configure an separate configuration for this range if necessary. So we propose this kind of overlapping is not allowed for simplicity. </w:t>
      </w:r>
    </w:p>
    <w:p>
      <w:pPr>
        <w:spacing w:after="0" w:line="240" w:lineRule="auto"/>
        <w:ind w:left="1069" w:hanging="1069" w:hangingChars="507"/>
        <w:jc w:val="left"/>
        <w:rPr>
          <w:b/>
          <w:szCs w:val="21"/>
        </w:rPr>
      </w:pPr>
      <w:r>
        <w:rPr>
          <w:b/>
          <w:bCs/>
          <w:szCs w:val="21"/>
        </w:rPr>
        <w:t>Proposa</w:t>
      </w:r>
      <w:r>
        <w:rPr>
          <w:rFonts w:hint="eastAsia"/>
          <w:b/>
          <w:bCs/>
          <w:szCs w:val="21"/>
        </w:rPr>
        <w:t>l</w:t>
      </w:r>
      <w:r>
        <w:rPr>
          <w:b/>
          <w:szCs w:val="21"/>
        </w:rPr>
        <w:t xml:space="preserve"> </w:t>
      </w:r>
      <w:r>
        <w:rPr>
          <w:rFonts w:hint="eastAsia"/>
          <w:b/>
          <w:szCs w:val="21"/>
          <w:lang w:val="en-US" w:eastAsia="zh-CN"/>
        </w:rPr>
        <w:t>4</w:t>
      </w:r>
      <w:r>
        <w:rPr>
          <w:rFonts w:hint="eastAsia"/>
          <w:b/>
          <w:szCs w:val="21"/>
        </w:rPr>
        <w:t>:</w:t>
      </w:r>
      <w:r>
        <w:rPr>
          <w:b/>
          <w:szCs w:val="21"/>
        </w:rPr>
        <w:t xml:space="preserve"> RAN2 to </w:t>
      </w:r>
      <w:r>
        <w:rPr>
          <w:rFonts w:hint="eastAsia"/>
          <w:b/>
          <w:szCs w:val="21"/>
          <w:lang w:val="en-US" w:eastAsia="zh-CN"/>
        </w:rPr>
        <w:t>agree</w:t>
      </w:r>
      <w:r>
        <w:rPr>
          <w:b/>
          <w:szCs w:val="21"/>
        </w:rPr>
        <w:t xml:space="preserve"> the overlapping in height range is not allowed for height-based </w:t>
      </w:r>
      <w:r>
        <w:rPr>
          <w:b/>
          <w:i/>
          <w:szCs w:val="21"/>
        </w:rPr>
        <w:t>SSB-ToMeasure</w:t>
      </w:r>
      <w:r>
        <w:rPr>
          <w:b/>
          <w:szCs w:val="21"/>
        </w:rPr>
        <w:t>.</w:t>
      </w:r>
    </w:p>
    <w:p>
      <w:pPr>
        <w:spacing w:after="0" w:line="240" w:lineRule="auto"/>
        <w:ind w:left="1069" w:hanging="1069" w:hangingChars="507"/>
        <w:jc w:val="left"/>
        <w:rPr>
          <w:rFonts w:hint="eastAsia"/>
          <w:b/>
          <w:szCs w:val="21"/>
        </w:rPr>
      </w:pPr>
    </w:p>
    <w:p>
      <w:pPr>
        <w:spacing w:after="0" w:line="240" w:lineRule="auto"/>
        <w:jc w:val="left"/>
        <w:rPr>
          <w:szCs w:val="21"/>
        </w:rPr>
      </w:pPr>
      <w:r>
        <w:rPr>
          <w:rFonts w:hint="eastAsia"/>
          <w:szCs w:val="21"/>
        </w:rPr>
        <w:t xml:space="preserve">If RAN2 decides </w:t>
      </w:r>
      <w:r>
        <w:rPr>
          <w:szCs w:val="21"/>
        </w:rPr>
        <w:t xml:space="preserve">above proposal: </w:t>
      </w:r>
      <w:r>
        <w:rPr>
          <w:rFonts w:hint="eastAsia"/>
          <w:szCs w:val="21"/>
        </w:rPr>
        <w:t xml:space="preserve">two possible </w:t>
      </w:r>
      <w:r>
        <w:rPr>
          <w:szCs w:val="21"/>
        </w:rPr>
        <w:t>options</w:t>
      </w:r>
      <w:r>
        <w:rPr>
          <w:rFonts w:hint="eastAsia"/>
          <w:szCs w:val="21"/>
        </w:rPr>
        <w:t xml:space="preserve"> can be considered:</w:t>
      </w:r>
    </w:p>
    <w:p>
      <w:pPr>
        <w:spacing w:after="0" w:line="240" w:lineRule="auto"/>
        <w:ind w:left="420" w:leftChars="200"/>
        <w:jc w:val="left"/>
        <w:rPr>
          <w:bCs/>
          <w:szCs w:val="21"/>
        </w:rPr>
      </w:pPr>
      <w:r>
        <w:rPr>
          <w:rFonts w:hint="eastAsia"/>
          <w:bCs/>
          <w:szCs w:val="21"/>
        </w:rPr>
        <w:t>Option 1: To leave to network configuration to ensure there is no overlapping configuration.</w:t>
      </w:r>
    </w:p>
    <w:p>
      <w:pPr>
        <w:spacing w:after="0" w:line="240" w:lineRule="auto"/>
        <w:ind w:left="420" w:leftChars="200"/>
        <w:jc w:val="left"/>
        <w:rPr>
          <w:bCs/>
          <w:szCs w:val="21"/>
        </w:rPr>
      </w:pPr>
      <w:r>
        <w:rPr>
          <w:rFonts w:hint="eastAsia"/>
          <w:bCs/>
          <w:szCs w:val="21"/>
        </w:rPr>
        <w:t>Option 2: To specify a standard mechanism to avoid overlapping configuration. For example, for each height range, only min height</w:t>
      </w:r>
      <w:r>
        <w:rPr>
          <w:bCs/>
          <w:szCs w:val="21"/>
        </w:rPr>
        <w:t xml:space="preserve"> (heightMin)</w:t>
      </w:r>
      <w:r>
        <w:rPr>
          <w:rFonts w:hint="eastAsia"/>
          <w:bCs/>
          <w:szCs w:val="21"/>
        </w:rPr>
        <w:t xml:space="preserve"> is configured. The min height of next height range is the max height of this height range. And all height ranges share same hysteresis value.</w:t>
      </w:r>
    </w:p>
    <w:p>
      <w:pPr>
        <w:spacing w:after="0" w:line="240" w:lineRule="auto"/>
        <w:ind w:left="420" w:leftChars="200"/>
        <w:jc w:val="center"/>
        <w:rPr>
          <w:bCs/>
          <w:szCs w:val="21"/>
        </w:rPr>
      </w:pPr>
      <w:r>
        <w:object>
          <v:shape id="_x0000_i1026" o:spt="75" type="#_x0000_t75" style="height:124.5pt;width:132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pPr>
        <w:spacing w:after="0" w:line="240" w:lineRule="auto"/>
        <w:ind w:left="420" w:leftChars="200"/>
        <w:jc w:val="center"/>
        <w:rPr>
          <w:bCs/>
          <w:szCs w:val="21"/>
        </w:rPr>
      </w:pPr>
      <w:r>
        <w:rPr>
          <w:bCs/>
          <w:szCs w:val="21"/>
        </w:rPr>
        <w:t>Figure 2: illustration of non-overlapping configuration</w:t>
      </w:r>
    </w:p>
    <w:p>
      <w:pPr>
        <w:spacing w:after="0" w:line="240" w:lineRule="auto"/>
        <w:ind w:left="1069" w:hanging="1069" w:hangingChars="507"/>
        <w:jc w:val="left"/>
        <w:rPr>
          <w:b/>
          <w:szCs w:val="21"/>
        </w:rPr>
      </w:pPr>
      <w:r>
        <w:rPr>
          <w:b/>
          <w:bCs/>
          <w:szCs w:val="21"/>
        </w:rPr>
        <w:t xml:space="preserve">Proposal </w:t>
      </w:r>
      <w:r>
        <w:rPr>
          <w:rFonts w:hint="eastAsia"/>
          <w:b/>
          <w:bCs/>
          <w:szCs w:val="21"/>
          <w:lang w:val="en-US" w:eastAsia="zh-CN"/>
        </w:rPr>
        <w:t>4a</w:t>
      </w:r>
      <w:r>
        <w:rPr>
          <w:b/>
          <w:bCs/>
          <w:szCs w:val="21"/>
        </w:rPr>
        <w:t xml:space="preserve">: </w:t>
      </w:r>
      <w:r>
        <w:rPr>
          <w:rFonts w:hint="eastAsia"/>
          <w:b/>
          <w:bCs/>
          <w:szCs w:val="21"/>
          <w:lang w:val="en-US" w:eastAsia="zh-CN"/>
        </w:rPr>
        <w:t>I</w:t>
      </w:r>
      <w:r>
        <w:rPr>
          <w:b/>
          <w:bCs/>
          <w:szCs w:val="21"/>
        </w:rPr>
        <w:t>f RAN2 agrees overlapping in height range is not allowed, RAN2 to choose one of following</w:t>
      </w:r>
      <w:r>
        <w:rPr>
          <w:b/>
          <w:szCs w:val="21"/>
        </w:rPr>
        <w:t xml:space="preserve"> options</w:t>
      </w:r>
      <w:r>
        <w:rPr>
          <w:rFonts w:hint="eastAsia"/>
          <w:b/>
          <w:szCs w:val="21"/>
          <w:lang w:val="en-US" w:eastAsia="zh-CN"/>
        </w:rPr>
        <w:t xml:space="preserve"> to avoid the overlapping</w:t>
      </w:r>
      <w:r>
        <w:rPr>
          <w:b/>
          <w:szCs w:val="21"/>
        </w:rPr>
        <w:t xml:space="preserve">: </w:t>
      </w:r>
    </w:p>
    <w:p>
      <w:pPr>
        <w:numPr>
          <w:ilvl w:val="0"/>
          <w:numId w:val="8"/>
        </w:numPr>
        <w:spacing w:after="0" w:line="240" w:lineRule="auto"/>
        <w:ind w:left="1470" w:leftChars="500" w:hanging="420" w:firstLineChars="0"/>
        <w:jc w:val="left"/>
        <w:rPr>
          <w:b/>
          <w:bCs/>
          <w:szCs w:val="21"/>
        </w:rPr>
      </w:pPr>
      <w:r>
        <w:rPr>
          <w:b/>
          <w:bCs/>
          <w:szCs w:val="21"/>
        </w:rPr>
        <w:t>Option 1: Left to network configuration to ensure there is no overlapping in height ranges.</w:t>
      </w:r>
    </w:p>
    <w:p>
      <w:pPr>
        <w:numPr>
          <w:ilvl w:val="0"/>
          <w:numId w:val="8"/>
        </w:numPr>
        <w:spacing w:after="0" w:line="240" w:lineRule="auto"/>
        <w:ind w:left="1470" w:leftChars="500" w:hanging="420" w:firstLineChars="0"/>
        <w:jc w:val="left"/>
        <w:rPr>
          <w:b/>
          <w:bCs/>
          <w:szCs w:val="21"/>
        </w:rPr>
      </w:pPr>
      <w:r>
        <w:rPr>
          <w:b/>
          <w:bCs/>
          <w:szCs w:val="21"/>
        </w:rPr>
        <w:t xml:space="preserve">Option 2: </w:t>
      </w:r>
      <w:r>
        <w:rPr>
          <w:rFonts w:hint="eastAsia"/>
          <w:b/>
          <w:bCs/>
          <w:szCs w:val="21"/>
        </w:rPr>
        <w:t>T</w:t>
      </w:r>
      <w:r>
        <w:rPr>
          <w:b/>
          <w:bCs/>
          <w:szCs w:val="21"/>
        </w:rPr>
        <w:t>o specify a mechanism to ensure there is no overlapping in height range.</w:t>
      </w:r>
    </w:p>
    <w:p>
      <w:pPr>
        <w:pStyle w:val="284"/>
        <w:spacing w:after="0" w:line="240" w:lineRule="auto"/>
        <w:ind w:left="840" w:firstLine="0" w:firstLineChars="0"/>
        <w:jc w:val="left"/>
        <w:rPr>
          <w:b/>
          <w:szCs w:val="21"/>
        </w:rPr>
      </w:pPr>
    </w:p>
    <w:p>
      <w:pPr>
        <w:spacing w:after="0" w:line="240" w:lineRule="auto"/>
        <w:jc w:val="left"/>
        <w:rPr>
          <w:bCs/>
          <w:szCs w:val="21"/>
        </w:rPr>
      </w:pPr>
      <w:r>
        <w:rPr>
          <w:bCs/>
          <w:szCs w:val="21"/>
        </w:rPr>
        <w:t>I</w:t>
      </w:r>
      <w:r>
        <w:rPr>
          <w:rFonts w:hint="eastAsia"/>
          <w:bCs/>
          <w:szCs w:val="21"/>
        </w:rPr>
        <w:t xml:space="preserve">f RAN2 decides the overlapping configuration is allowed, </w:t>
      </w:r>
      <w:r>
        <w:rPr>
          <w:bCs/>
          <w:szCs w:val="21"/>
        </w:rPr>
        <w:t xml:space="preserve">we need to decide the UE behavior when it is in the overlapped height range. One straight forward solution is to combine the SSB-ToMeasure of overlapped height ranges. Since different height ranges share same SMTC, this solution is feasible. </w:t>
      </w:r>
    </w:p>
    <w:p>
      <w:pPr>
        <w:spacing w:after="0" w:line="240" w:lineRule="auto"/>
        <w:jc w:val="left"/>
        <w:rPr>
          <w:bCs/>
          <w:szCs w:val="21"/>
        </w:rPr>
      </w:pPr>
      <w:r>
        <w:rPr>
          <w:bCs/>
          <w:szCs w:val="21"/>
        </w:rPr>
        <w:t>As to the impact on specification, maybe nothing needs to be captured considering the field description of current running CR. i.e. when the UE is within more than one height ranges, it appl</w:t>
      </w:r>
      <w:r>
        <w:rPr>
          <w:rFonts w:hint="eastAsia"/>
          <w:bCs/>
          <w:szCs w:val="21"/>
        </w:rPr>
        <w:t>i</w:t>
      </w:r>
      <w:r>
        <w:rPr>
          <w:bCs/>
          <w:szCs w:val="21"/>
        </w:rPr>
        <w:t>es SSB-ToMeasure-r18 corresponding to these height ranges.</w:t>
      </w:r>
    </w:p>
    <w:p>
      <w:pPr>
        <w:snapToGrid w:val="0"/>
        <w:spacing w:after="0" w:line="240" w:lineRule="auto"/>
        <w:jc w:val="left"/>
        <w:rPr>
          <w:rFonts w:hint="eastAsia"/>
          <w:bCs/>
          <w:szCs w:val="21"/>
        </w:rPr>
      </w:pPr>
    </w:p>
    <w:tbl>
      <w:tblPr>
        <w:tblStyle w:val="5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jc w:val="center"/>
              <w:textAlignment w:val="baseline"/>
              <w:rPr>
                <w:rFonts w:ascii="Arial" w:hAnsi="Arial" w:eastAsia="Times New Roman"/>
                <w:b/>
                <w:kern w:val="0"/>
                <w:sz w:val="18"/>
                <w:szCs w:val="18"/>
              </w:rPr>
            </w:pPr>
            <w:r>
              <w:rPr>
                <w:rFonts w:ascii="Arial" w:hAnsi="Arial" w:eastAsia="Times New Roman"/>
                <w:b/>
                <w:i/>
                <w:sz w:val="18"/>
                <w:szCs w:val="18"/>
              </w:rPr>
              <w:t xml:space="preserve">MeasObjectNR </w:t>
            </w:r>
            <w:r>
              <w:rPr>
                <w:rFonts w:ascii="Arial" w:hAnsi="Arial" w:eastAsia="Times New Roman"/>
                <w:b/>
                <w:sz w:val="18"/>
                <w:szCs w:val="18"/>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240" w:lineRule="auto"/>
              <w:textAlignment w:val="baseline"/>
              <w:rPr>
                <w:rFonts w:ascii="Arial" w:hAnsi="Arial" w:eastAsia="Times New Roman"/>
                <w:b/>
                <w:i/>
                <w:kern w:val="0"/>
                <w:sz w:val="18"/>
                <w:szCs w:val="18"/>
              </w:rPr>
            </w:pPr>
            <w:r>
              <w:rPr>
                <w:rFonts w:ascii="Arial" w:hAnsi="Arial" w:eastAsia="Times New Roman"/>
                <w:b/>
                <w:i/>
                <w:sz w:val="18"/>
                <w:szCs w:val="18"/>
              </w:rPr>
              <w:t>ssb-ToMeasureHeightBasedList</w:t>
            </w:r>
          </w:p>
          <w:p>
            <w:pPr>
              <w:keepNext/>
              <w:keepLines/>
              <w:overflowPunct w:val="0"/>
              <w:autoSpaceDE w:val="0"/>
              <w:autoSpaceDN w:val="0"/>
              <w:adjustRightInd w:val="0"/>
              <w:snapToGrid w:val="0"/>
              <w:spacing w:after="0" w:line="240" w:lineRule="auto"/>
              <w:textAlignment w:val="baseline"/>
              <w:rPr>
                <w:rFonts w:ascii="Arial" w:hAnsi="Arial" w:eastAsia="Times New Roman"/>
                <w:bCs/>
                <w:iCs/>
                <w:sz w:val="18"/>
                <w:szCs w:val="18"/>
              </w:rPr>
            </w:pPr>
            <w:r>
              <w:rPr>
                <w:rFonts w:ascii="Arial" w:hAnsi="Arial" w:eastAsia="Times New Roman"/>
                <w:bCs/>
                <w:iCs/>
                <w:sz w:val="18"/>
                <w:szCs w:val="18"/>
              </w:rPr>
              <w:t xml:space="preserve">List of height-dependent </w:t>
            </w:r>
            <w:r>
              <w:rPr>
                <w:rFonts w:ascii="Arial" w:hAnsi="Arial" w:eastAsia="Times New Roman"/>
                <w:bCs/>
                <w:i/>
                <w:sz w:val="18"/>
                <w:szCs w:val="18"/>
              </w:rPr>
              <w:t>ssb-ToMeasure</w:t>
            </w:r>
            <w:r>
              <w:rPr>
                <w:rFonts w:ascii="Arial" w:hAnsi="Arial" w:eastAsia="Times New Roman"/>
                <w:bCs/>
                <w:iCs/>
                <w:sz w:val="18"/>
                <w:szCs w:val="18"/>
              </w:rPr>
              <w:t xml:space="preserve">. If this list is included, while the UE is within a height range indicated by </w:t>
            </w:r>
            <w:r>
              <w:rPr>
                <w:rFonts w:ascii="Arial" w:hAnsi="Arial" w:eastAsia="Times New Roman"/>
                <w:bCs/>
                <w:i/>
                <w:sz w:val="18"/>
                <w:szCs w:val="18"/>
              </w:rPr>
              <w:t>heightRange</w:t>
            </w:r>
            <w:r>
              <w:rPr>
                <w:rFonts w:ascii="Arial" w:hAnsi="Arial" w:eastAsia="Times New Roman"/>
                <w:bCs/>
                <w:iCs/>
                <w:sz w:val="18"/>
                <w:szCs w:val="18"/>
              </w:rPr>
              <w:t xml:space="preserve">, it applies corresponding </w:t>
            </w:r>
            <w:r>
              <w:rPr>
                <w:rFonts w:ascii="Arial" w:hAnsi="Arial" w:eastAsia="Times New Roman"/>
                <w:bCs/>
                <w:i/>
                <w:sz w:val="18"/>
                <w:szCs w:val="18"/>
              </w:rPr>
              <w:t>ssb-ToMeasure-r18</w:t>
            </w:r>
            <w:r>
              <w:rPr>
                <w:rFonts w:ascii="Arial" w:hAnsi="Arial" w:eastAsia="Times New Roman"/>
                <w:bCs/>
                <w:iCs/>
                <w:sz w:val="18"/>
                <w:szCs w:val="18"/>
              </w:rPr>
              <w:t xml:space="preserve"> for that height range and ignores </w:t>
            </w:r>
            <w:r>
              <w:rPr>
                <w:rFonts w:ascii="Arial" w:hAnsi="Arial" w:eastAsia="Times New Roman"/>
                <w:bCs/>
                <w:i/>
                <w:sz w:val="18"/>
                <w:szCs w:val="18"/>
              </w:rPr>
              <w:t xml:space="preserve">ssb-ToMeasure </w:t>
            </w:r>
            <w:r>
              <w:rPr>
                <w:rFonts w:ascii="Arial" w:hAnsi="Arial" w:eastAsia="Times New Roman"/>
                <w:bCs/>
                <w:iCs/>
                <w:sz w:val="18"/>
                <w:szCs w:val="18"/>
              </w:rPr>
              <w:t xml:space="preserve">(without suffix). When the UE is in a height range for which a corresponding </w:t>
            </w:r>
            <w:r>
              <w:rPr>
                <w:rFonts w:ascii="Arial" w:hAnsi="Arial" w:eastAsia="Times New Roman"/>
                <w:bCs/>
                <w:i/>
                <w:sz w:val="18"/>
                <w:szCs w:val="18"/>
              </w:rPr>
              <w:t>ssb-ToMeasure-r18</w:t>
            </w:r>
            <w:r>
              <w:rPr>
                <w:rFonts w:ascii="Arial" w:hAnsi="Arial" w:eastAsia="Times New Roman"/>
                <w:bCs/>
                <w:iCs/>
                <w:sz w:val="18"/>
                <w:szCs w:val="18"/>
              </w:rPr>
              <w:t xml:space="preserve"> is not configured, </w:t>
            </w:r>
            <w:r>
              <w:rPr>
                <w:rFonts w:ascii="Arial" w:hAnsi="Arial" w:eastAsia="Times New Roman"/>
                <w:bCs/>
                <w:i/>
                <w:sz w:val="18"/>
                <w:szCs w:val="18"/>
              </w:rPr>
              <w:t>ssb-ToMeasure</w:t>
            </w:r>
            <w:r>
              <w:rPr>
                <w:rFonts w:ascii="Arial" w:hAnsi="Arial" w:eastAsia="Times New Roman"/>
                <w:bCs/>
                <w:iCs/>
                <w:sz w:val="18"/>
                <w:szCs w:val="18"/>
              </w:rPr>
              <w:t xml:space="preserve"> (without suffix) applies.</w:t>
            </w:r>
          </w:p>
        </w:tc>
      </w:tr>
    </w:tbl>
    <w:p>
      <w:pPr>
        <w:spacing w:after="0" w:line="240" w:lineRule="auto"/>
        <w:jc w:val="left"/>
        <w:rPr>
          <w:bCs/>
          <w:szCs w:val="21"/>
        </w:rPr>
      </w:pPr>
    </w:p>
    <w:p>
      <w:pPr>
        <w:spacing w:after="0" w:line="240" w:lineRule="auto"/>
        <w:ind w:left="1069" w:hanging="1069" w:hangingChars="507"/>
        <w:jc w:val="left"/>
        <w:rPr>
          <w:b/>
          <w:szCs w:val="21"/>
        </w:rPr>
      </w:pPr>
      <w:bookmarkStart w:id="5" w:name="_Hlk146561889"/>
      <w:r>
        <w:rPr>
          <w:rFonts w:hint="eastAsia"/>
          <w:b/>
          <w:bCs/>
          <w:szCs w:val="21"/>
        </w:rPr>
        <w:t xml:space="preserve">Proposal </w:t>
      </w:r>
      <w:r>
        <w:rPr>
          <w:rFonts w:hint="eastAsia"/>
          <w:b/>
          <w:bCs/>
          <w:szCs w:val="21"/>
          <w:lang w:val="en-US" w:eastAsia="zh-CN"/>
        </w:rPr>
        <w:t>4b</w:t>
      </w:r>
      <w:r>
        <w:rPr>
          <w:rFonts w:hint="eastAsia"/>
          <w:b/>
          <w:bCs/>
          <w:szCs w:val="21"/>
        </w:rPr>
        <w:t xml:space="preserve">: </w:t>
      </w:r>
      <w:r>
        <w:rPr>
          <w:b/>
          <w:bCs/>
          <w:szCs w:val="21"/>
        </w:rPr>
        <w:t xml:space="preserve">If RAN2 </w:t>
      </w:r>
      <w:r>
        <w:rPr>
          <w:rFonts w:hint="eastAsia"/>
          <w:b/>
          <w:bCs/>
          <w:szCs w:val="21"/>
          <w:lang w:val="en-US" w:eastAsia="zh-CN"/>
        </w:rPr>
        <w:t>decide</w:t>
      </w:r>
      <w:r>
        <w:rPr>
          <w:b/>
          <w:bCs/>
          <w:szCs w:val="21"/>
        </w:rPr>
        <w:t xml:space="preserve">s overlapping in height ranges is allowed, </w:t>
      </w:r>
      <w:r>
        <w:rPr>
          <w:rFonts w:hint="eastAsia"/>
          <w:b/>
          <w:bCs/>
          <w:szCs w:val="21"/>
          <w:lang w:val="en-US" w:eastAsia="zh-CN"/>
        </w:rPr>
        <w:t>the</w:t>
      </w:r>
      <w:r>
        <w:rPr>
          <w:b/>
          <w:bCs/>
          <w:szCs w:val="21"/>
        </w:rPr>
        <w:t xml:space="preserve"> </w:t>
      </w:r>
      <w:r>
        <w:rPr>
          <w:b/>
          <w:szCs w:val="21"/>
        </w:rPr>
        <w:t>UE applies combination of SSB-ToMeasure of overlapped height ranges</w:t>
      </w:r>
      <w:r>
        <w:rPr>
          <w:rFonts w:hint="eastAsia"/>
          <w:b/>
          <w:szCs w:val="21"/>
        </w:rPr>
        <w:t>.</w:t>
      </w:r>
      <w:r>
        <w:rPr>
          <w:b/>
          <w:szCs w:val="21"/>
        </w:rPr>
        <w:t xml:space="preserve"> FFS on the spec impact.</w:t>
      </w:r>
    </w:p>
    <w:bookmarkEnd w:id="5"/>
    <w:p>
      <w:pPr>
        <w:spacing w:after="0" w:line="240" w:lineRule="auto"/>
        <w:jc w:val="left"/>
        <w:rPr>
          <w:b/>
          <w:bCs/>
          <w:szCs w:val="21"/>
        </w:rPr>
      </w:pPr>
    </w:p>
    <w:p>
      <w:pPr>
        <w:spacing w:after="0" w:line="240" w:lineRule="auto"/>
        <w:jc w:val="left"/>
        <w:rPr>
          <w:szCs w:val="21"/>
        </w:rPr>
      </w:pPr>
      <w:r>
        <w:rPr>
          <w:rFonts w:hint="eastAsia"/>
          <w:szCs w:val="21"/>
        </w:rPr>
        <w:t>Besides RRC_CONNECTED mode</w:t>
      </w:r>
      <w:r>
        <w:rPr>
          <w:szCs w:val="21"/>
        </w:rPr>
        <w:t xml:space="preserve">, we believe it is also beneficial to extend </w:t>
      </w:r>
      <w:r>
        <w:rPr>
          <w:rFonts w:hint="eastAsia"/>
          <w:szCs w:val="21"/>
        </w:rPr>
        <w:t>height-</w:t>
      </w:r>
      <w:r>
        <w:rPr>
          <w:szCs w:val="21"/>
        </w:rPr>
        <w:t xml:space="preserve">based </w:t>
      </w:r>
      <w:r>
        <w:rPr>
          <w:rFonts w:hint="eastAsia"/>
          <w:i/>
          <w:iCs/>
          <w:szCs w:val="21"/>
        </w:rPr>
        <w:t xml:space="preserve">SSB-ToMeasure </w:t>
      </w:r>
      <w:r>
        <w:rPr>
          <w:szCs w:val="21"/>
        </w:rPr>
        <w:t xml:space="preserve">to RRC_IDLE/RRC_INACTIVE </w:t>
      </w:r>
      <w:r>
        <w:rPr>
          <w:rFonts w:hint="eastAsia"/>
          <w:szCs w:val="21"/>
        </w:rPr>
        <w:t>mode RRM measurement</w:t>
      </w:r>
      <w:r>
        <w:rPr>
          <w:szCs w:val="21"/>
        </w:rPr>
        <w:t xml:space="preserve"> and RACH resource selection in Rel-18. </w:t>
      </w:r>
      <w:r>
        <w:rPr>
          <w:rFonts w:hint="eastAsia"/>
          <w:szCs w:val="21"/>
          <w:lang w:val="en-US" w:eastAsia="zh-CN"/>
        </w:rPr>
        <w:t xml:space="preserve">Considering that the </w:t>
      </w:r>
      <w:r>
        <w:rPr>
          <w:szCs w:val="21"/>
        </w:rPr>
        <w:t>UAV UE is not always in RRC_CONNECTED state when in the air</w:t>
      </w:r>
      <w:r>
        <w:rPr>
          <w:rFonts w:hint="eastAsia"/>
          <w:szCs w:val="21"/>
          <w:lang w:val="en-US" w:eastAsia="zh-CN"/>
        </w:rPr>
        <w:t>, t</w:t>
      </w:r>
      <w:r>
        <w:rPr>
          <w:szCs w:val="21"/>
        </w:rPr>
        <w:t>h</w:t>
      </w:r>
      <w:r>
        <w:rPr>
          <w:rFonts w:hint="eastAsia"/>
          <w:szCs w:val="21"/>
          <w:lang w:val="en-US" w:eastAsia="zh-CN"/>
        </w:rPr>
        <w:t>e</w:t>
      </w:r>
      <w:r>
        <w:rPr>
          <w:szCs w:val="21"/>
        </w:rPr>
        <w:t xml:space="preserve"> benefit of height-based SSB-T</w:t>
      </w:r>
      <w:r>
        <w:rPr>
          <w:rFonts w:hint="eastAsia"/>
          <w:szCs w:val="21"/>
        </w:rPr>
        <w:t>oMeasure</w:t>
      </w:r>
      <w:r>
        <w:rPr>
          <w:szCs w:val="21"/>
        </w:rPr>
        <w:t xml:space="preserve"> for RRC_CONNECTED </w:t>
      </w:r>
      <w:r>
        <w:rPr>
          <w:rFonts w:hint="eastAsia"/>
          <w:szCs w:val="21"/>
          <w:lang w:val="en-US" w:eastAsia="zh-CN"/>
        </w:rPr>
        <w:t xml:space="preserve">UE </w:t>
      </w:r>
      <w:r>
        <w:rPr>
          <w:szCs w:val="21"/>
        </w:rPr>
        <w:t xml:space="preserve">is also valid for RRC_IDLE </w:t>
      </w:r>
      <w:r>
        <w:rPr>
          <w:rFonts w:hint="eastAsia"/>
          <w:szCs w:val="21"/>
          <w:lang w:val="en-US" w:eastAsia="zh-CN"/>
        </w:rPr>
        <w:t xml:space="preserve">UE </w:t>
      </w:r>
      <w:r>
        <w:rPr>
          <w:szCs w:val="21"/>
        </w:rPr>
        <w:t>and RRC_INACTIVE</w:t>
      </w:r>
      <w:r>
        <w:rPr>
          <w:rFonts w:hint="eastAsia"/>
          <w:szCs w:val="21"/>
          <w:lang w:val="en-US" w:eastAsia="zh-CN"/>
        </w:rPr>
        <w:t xml:space="preserve"> UE</w:t>
      </w:r>
      <w:r>
        <w:rPr>
          <w:szCs w:val="21"/>
        </w:rPr>
        <w:t>, i.e. avoid unnecessary SSB measurement and avoid improper cell reselection due to the impact of side lobes from faraway cells.</w:t>
      </w:r>
    </w:p>
    <w:p>
      <w:pPr>
        <w:spacing w:after="0" w:line="240" w:lineRule="auto"/>
        <w:jc w:val="left"/>
        <w:rPr>
          <w:szCs w:val="21"/>
        </w:rPr>
      </w:pPr>
      <w:r>
        <w:rPr>
          <w:szCs w:val="21"/>
        </w:rPr>
        <w:t xml:space="preserve">Someone argues this is out of Rel-18 scope. But considering height-based SSB-ToMeasure and measurement report configuration for RRC_CONNECTED are adopted for </w:t>
      </w:r>
      <w:r>
        <w:rPr>
          <w:rFonts w:hint="eastAsia"/>
          <w:szCs w:val="21"/>
        </w:rPr>
        <w:t>Rel</w:t>
      </w:r>
      <w:r>
        <w:rPr>
          <w:szCs w:val="21"/>
        </w:rPr>
        <w:t xml:space="preserve">-18, they can be naturally extended to </w:t>
      </w:r>
      <w:r>
        <w:rPr>
          <w:rFonts w:hint="eastAsia"/>
          <w:szCs w:val="21"/>
        </w:rPr>
        <w:t>RRC_I</w:t>
      </w:r>
      <w:r>
        <w:rPr>
          <w:szCs w:val="21"/>
        </w:rPr>
        <w:t>DLE/RRC_INACTIVE for Rel-18 too.</w:t>
      </w:r>
    </w:p>
    <w:p>
      <w:pPr>
        <w:spacing w:after="0" w:line="240" w:lineRule="auto"/>
        <w:ind w:left="1069" w:hanging="1069" w:hangingChars="507"/>
        <w:jc w:val="left"/>
        <w:rPr>
          <w:b/>
          <w:bCs/>
          <w:szCs w:val="21"/>
        </w:rPr>
      </w:pPr>
      <w:r>
        <w:rPr>
          <w:rFonts w:hint="eastAsia"/>
          <w:b/>
          <w:bCs/>
          <w:szCs w:val="21"/>
        </w:rPr>
        <w:t>Proposal</w:t>
      </w:r>
      <w:r>
        <w:rPr>
          <w:b/>
          <w:bCs/>
          <w:szCs w:val="21"/>
        </w:rPr>
        <w:t xml:space="preserve"> </w:t>
      </w:r>
      <w:r>
        <w:rPr>
          <w:rFonts w:hint="eastAsia"/>
          <w:b/>
          <w:bCs/>
          <w:szCs w:val="21"/>
          <w:lang w:val="en-US" w:eastAsia="zh-CN"/>
        </w:rPr>
        <w:t>5</w:t>
      </w:r>
      <w:r>
        <w:rPr>
          <w:rFonts w:hint="eastAsia"/>
          <w:b/>
          <w:bCs/>
          <w:szCs w:val="21"/>
        </w:rPr>
        <w:t xml:space="preserve">: </w:t>
      </w:r>
      <w:r>
        <w:rPr>
          <w:rFonts w:hint="eastAsia"/>
          <w:b/>
          <w:bCs/>
          <w:szCs w:val="21"/>
          <w:lang w:val="en-US" w:eastAsia="zh-CN"/>
        </w:rPr>
        <w:t xml:space="preserve">RAN2 </w:t>
      </w:r>
      <w:r>
        <w:rPr>
          <w:b/>
          <w:bCs/>
          <w:szCs w:val="21"/>
        </w:rPr>
        <w:t>t</w:t>
      </w:r>
      <w:r>
        <w:rPr>
          <w:rFonts w:hint="eastAsia"/>
          <w:b/>
          <w:bCs/>
          <w:szCs w:val="21"/>
        </w:rPr>
        <w:t>o extend height-dependent</w:t>
      </w:r>
      <w:r>
        <w:rPr>
          <w:rFonts w:hint="eastAsia"/>
          <w:b/>
          <w:bCs/>
          <w:i/>
          <w:iCs/>
          <w:szCs w:val="21"/>
        </w:rPr>
        <w:t xml:space="preserve"> SSB-ToMeasure </w:t>
      </w:r>
      <w:r>
        <w:rPr>
          <w:rFonts w:hint="eastAsia"/>
          <w:b/>
          <w:bCs/>
          <w:szCs w:val="21"/>
          <w:lang w:val="en-US" w:eastAsia="zh-CN"/>
        </w:rPr>
        <w:t>for</w:t>
      </w:r>
      <w:r>
        <w:rPr>
          <w:rFonts w:hint="eastAsia"/>
          <w:b/>
          <w:bCs/>
          <w:szCs w:val="21"/>
        </w:rPr>
        <w:t xml:space="preserve"> RRM measurement </w:t>
      </w:r>
      <w:r>
        <w:rPr>
          <w:rFonts w:hint="eastAsia"/>
          <w:b/>
          <w:bCs/>
          <w:szCs w:val="21"/>
          <w:lang w:val="en-US" w:eastAsia="zh-CN"/>
        </w:rPr>
        <w:t>to</w:t>
      </w:r>
      <w:r>
        <w:rPr>
          <w:rFonts w:hint="eastAsia"/>
          <w:b/>
          <w:bCs/>
          <w:szCs w:val="21"/>
        </w:rPr>
        <w:t xml:space="preserve"> cell re-selection, Idle/Inactive measurements</w:t>
      </w:r>
      <w:r>
        <w:rPr>
          <w:b/>
          <w:bCs/>
          <w:szCs w:val="21"/>
        </w:rPr>
        <w:t xml:space="preserve"> and </w:t>
      </w:r>
      <w:r>
        <w:rPr>
          <w:rFonts w:hint="eastAsia"/>
          <w:b/>
          <w:bCs/>
          <w:szCs w:val="21"/>
        </w:rPr>
        <w:t>RACH resource selection.</w:t>
      </w:r>
    </w:p>
    <w:p>
      <w:pPr>
        <w:spacing w:after="0" w:line="240" w:lineRule="auto"/>
        <w:ind w:left="1069" w:hanging="1069" w:hangingChars="507"/>
        <w:jc w:val="left"/>
        <w:rPr>
          <w:b/>
          <w:bCs/>
          <w:szCs w:val="21"/>
        </w:rPr>
      </w:pPr>
    </w:p>
    <w:p>
      <w:pPr>
        <w:spacing w:after="0" w:line="240" w:lineRule="auto"/>
        <w:jc w:val="left"/>
        <w:rPr>
          <w:bCs/>
          <w:szCs w:val="21"/>
        </w:rPr>
      </w:pPr>
      <w:r>
        <w:rPr>
          <w:bCs/>
          <w:szCs w:val="21"/>
        </w:rPr>
        <w:t>A</w:t>
      </w:r>
      <w:r>
        <w:rPr>
          <w:rFonts w:hint="eastAsia"/>
          <w:bCs/>
          <w:szCs w:val="21"/>
          <w:lang w:val="en-US" w:eastAsia="zh-CN"/>
        </w:rPr>
        <w:t>s</w:t>
      </w:r>
      <w:r>
        <w:rPr>
          <w:bCs/>
          <w:szCs w:val="21"/>
        </w:rPr>
        <w:t xml:space="preserve"> to the FFS issue “</w:t>
      </w:r>
      <w:r>
        <w:rPr>
          <w:bCs/>
          <w:i/>
          <w:iCs/>
          <w:szCs w:val="21"/>
        </w:rPr>
        <w:t>Should the numberOfTriggeringCells mechanism be allowed to consider all SSBs despite the SSB to Measure configuration for the purpose of interference reporting (which limits the use to some specific SSBs only)?</w:t>
      </w:r>
      <w:r>
        <w:rPr>
          <w:bCs/>
          <w:szCs w:val="21"/>
        </w:rPr>
        <w:t xml:space="preserve">”, we share </w:t>
      </w:r>
      <w:r>
        <w:rPr>
          <w:rFonts w:hint="eastAsia"/>
          <w:bCs/>
          <w:szCs w:val="21"/>
          <w:lang w:val="en-US" w:eastAsia="zh-CN"/>
        </w:rPr>
        <w:t>the</w:t>
      </w:r>
      <w:r>
        <w:rPr>
          <w:bCs/>
          <w:szCs w:val="21"/>
        </w:rPr>
        <w:t xml:space="preserve"> similar view that different configuration for interference detection may be necessary.</w:t>
      </w:r>
    </w:p>
    <w:p>
      <w:pPr>
        <w:spacing w:after="0" w:line="240" w:lineRule="auto"/>
        <w:jc w:val="left"/>
        <w:rPr>
          <w:bCs/>
          <w:szCs w:val="21"/>
        </w:rPr>
      </w:pPr>
      <w:r>
        <w:rPr>
          <w:bCs/>
          <w:szCs w:val="21"/>
        </w:rPr>
        <w:t>The intention of height-based SSB-ToMeasure is to save UE power and avoid impact of side lobes from far away cells. However, for interference detection, it may be necessary to perform measurement on all SSBs.</w:t>
      </w:r>
    </w:p>
    <w:p>
      <w:pPr>
        <w:spacing w:after="0" w:line="240" w:lineRule="auto"/>
        <w:rPr>
          <w:rFonts w:eastAsia="宋体"/>
          <w:szCs w:val="21"/>
        </w:rPr>
      </w:pPr>
      <w:r>
        <w:rPr>
          <w:szCs w:val="21"/>
        </w:rPr>
        <w:t>In addition, the cell quality is derived based on the consolidation of one or multiple beam measurements. So the interference detection requirement</w:t>
      </w:r>
      <w:r>
        <w:rPr>
          <w:rFonts w:hint="eastAsia"/>
          <w:szCs w:val="21"/>
          <w:lang w:val="en-US" w:eastAsia="zh-CN"/>
        </w:rPr>
        <w:t xml:space="preserve"> in NR</w:t>
      </w:r>
      <w:r>
        <w:rPr>
          <w:szCs w:val="21"/>
        </w:rPr>
        <w:t xml:space="preserve"> may differ from the LTE, e.g. one or two beams from the neighbor cells with strong RSRP are possible to cause interference to the serving cell. </w:t>
      </w:r>
    </w:p>
    <w:p>
      <w:pPr>
        <w:spacing w:after="0" w:line="240" w:lineRule="auto"/>
        <w:rPr>
          <w:szCs w:val="21"/>
        </w:rPr>
      </w:pPr>
      <w:r>
        <w:rPr>
          <w:szCs w:val="21"/>
        </w:rPr>
        <w:t xml:space="preserve">So RAN2 can consider whether some enhancements on the interference detection in NR is needed, e.g. consider all SSBs for interference detection, and configure another criteria or parameters for cell quality derivation on interference detection, e.g. a less RS number to average for cell measurement derivation (e.g. </w:t>
      </w:r>
      <w:r>
        <w:rPr>
          <w:i/>
          <w:iCs/>
          <w:szCs w:val="21"/>
        </w:rPr>
        <w:t>nrofSS-BlocksToAverage</w:t>
      </w:r>
      <w:r>
        <w:rPr>
          <w:szCs w:val="21"/>
        </w:rPr>
        <w:t>) but a higher threshold for the consolidation of measurement results per RS from L1 filter (</w:t>
      </w:r>
      <w:r>
        <w:rPr>
          <w:i/>
          <w:iCs/>
          <w:szCs w:val="21"/>
        </w:rPr>
        <w:t>absThreshSS-BlocksConsolidation</w:t>
      </w:r>
      <w:r>
        <w:rPr>
          <w:szCs w:val="21"/>
        </w:rPr>
        <w:t>).</w:t>
      </w:r>
    </w:p>
    <w:p>
      <w:pPr>
        <w:spacing w:after="0" w:line="240" w:lineRule="auto"/>
        <w:ind w:left="1069" w:hanging="1069" w:hangingChars="507"/>
        <w:jc w:val="left"/>
        <w:rPr>
          <w:b/>
          <w:bCs/>
          <w:szCs w:val="21"/>
        </w:rPr>
      </w:pPr>
      <w:r>
        <w:rPr>
          <w:b/>
          <w:bCs/>
          <w:szCs w:val="21"/>
        </w:rPr>
        <w:t xml:space="preserve">Proposal </w:t>
      </w:r>
      <w:r>
        <w:rPr>
          <w:rFonts w:hint="eastAsia"/>
          <w:b/>
          <w:bCs/>
          <w:szCs w:val="21"/>
          <w:lang w:val="en-US" w:eastAsia="zh-CN"/>
        </w:rPr>
        <w:t>6</w:t>
      </w:r>
      <w:r>
        <w:rPr>
          <w:b/>
          <w:bCs/>
          <w:szCs w:val="21"/>
        </w:rPr>
        <w:t>:</w:t>
      </w:r>
      <w:r>
        <w:rPr>
          <w:b/>
          <w:bCs/>
          <w:szCs w:val="21"/>
        </w:rPr>
        <w:tab/>
      </w:r>
      <w:r>
        <w:rPr>
          <w:b/>
          <w:bCs/>
          <w:szCs w:val="21"/>
        </w:rPr>
        <w:t>RAN2</w:t>
      </w:r>
      <w:r>
        <w:rPr>
          <w:rFonts w:hint="eastAsia"/>
          <w:b/>
          <w:bCs/>
          <w:szCs w:val="21"/>
        </w:rPr>
        <w:t xml:space="preserve"> </w:t>
      </w:r>
      <w:r>
        <w:rPr>
          <w:b/>
          <w:bCs/>
          <w:szCs w:val="21"/>
        </w:rPr>
        <w:t>to consider all SSBs</w:t>
      </w:r>
      <w:r>
        <w:rPr>
          <w:rFonts w:hint="eastAsia"/>
          <w:b/>
          <w:bCs/>
          <w:szCs w:val="21"/>
          <w:lang w:val="en-US" w:eastAsia="zh-CN"/>
        </w:rPr>
        <w:t xml:space="preserve"> for interference detection despite the </w:t>
      </w:r>
      <w:r>
        <w:rPr>
          <w:b/>
          <w:bCs/>
          <w:szCs w:val="21"/>
        </w:rPr>
        <w:t>height-based SSB-ToMeasure</w:t>
      </w:r>
      <w:r>
        <w:rPr>
          <w:rFonts w:hint="eastAsia"/>
          <w:b/>
          <w:bCs/>
          <w:szCs w:val="21"/>
          <w:lang w:val="en-US" w:eastAsia="zh-CN"/>
        </w:rPr>
        <w:t xml:space="preserve"> configuration</w:t>
      </w:r>
      <w:r>
        <w:rPr>
          <w:b/>
          <w:bCs/>
          <w:szCs w:val="21"/>
        </w:rPr>
        <w:t xml:space="preserve">, and to introduce separate </w:t>
      </w:r>
      <w:r>
        <w:rPr>
          <w:b/>
          <w:bCs/>
          <w:i/>
          <w:szCs w:val="21"/>
        </w:rPr>
        <w:t>nrofSS-BlocksToAverag</w:t>
      </w:r>
      <w:r>
        <w:rPr>
          <w:b/>
          <w:bCs/>
          <w:szCs w:val="21"/>
        </w:rPr>
        <w:t xml:space="preserve"> and </w:t>
      </w:r>
      <w:r>
        <w:rPr>
          <w:b/>
          <w:bCs/>
          <w:i/>
          <w:szCs w:val="21"/>
        </w:rPr>
        <w:t>absThreshSS-BlocksConsolidation</w:t>
      </w:r>
      <w:r>
        <w:rPr>
          <w:b/>
          <w:bCs/>
          <w:szCs w:val="21"/>
        </w:rPr>
        <w:t xml:space="preserve"> for interference detection.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after="0" w:line="240" w:lineRule="auto"/>
        <w:ind w:left="1069" w:hanging="1069" w:hangingChars="507"/>
        <w:jc w:val="left"/>
        <w:rPr>
          <w:b/>
          <w:bCs/>
          <w:szCs w:val="21"/>
        </w:rPr>
      </w:pPr>
      <w:r>
        <w:rPr>
          <w:rFonts w:hint="eastAsia"/>
          <w:b/>
          <w:bCs/>
          <w:szCs w:val="21"/>
        </w:rPr>
        <w:t xml:space="preserve">Proposal 1: </w:t>
      </w:r>
      <w:r>
        <w:rPr>
          <w:b/>
          <w:bCs/>
          <w:szCs w:val="21"/>
        </w:rPr>
        <w:t>The maximum number of height ranges can be 8.</w:t>
      </w:r>
    </w:p>
    <w:p>
      <w:pPr>
        <w:spacing w:after="0" w:line="240" w:lineRule="auto"/>
        <w:ind w:left="1069" w:hanging="1069" w:hangingChars="507"/>
        <w:jc w:val="left"/>
        <w:rPr>
          <w:rFonts w:hint="eastAsia"/>
          <w:b/>
          <w:bCs/>
          <w:szCs w:val="21"/>
        </w:rPr>
      </w:pPr>
      <w:r>
        <w:rPr>
          <w:rFonts w:hint="eastAsia"/>
          <w:b/>
          <w:bCs/>
          <w:szCs w:val="21"/>
        </w:rPr>
        <w:t xml:space="preserve">Proposal 2: </w:t>
      </w:r>
      <w:r>
        <w:rPr>
          <w:rFonts w:hint="eastAsia"/>
          <w:b/>
          <w:bCs/>
          <w:szCs w:val="21"/>
          <w:lang w:val="en-US" w:eastAsia="zh-CN"/>
        </w:rPr>
        <w:t>The</w:t>
      </w:r>
      <w:r>
        <w:rPr>
          <w:b/>
          <w:bCs/>
          <w:i/>
          <w:szCs w:val="21"/>
        </w:rPr>
        <w:t xml:space="preserve"> heightHyst-r18</w:t>
      </w:r>
      <w:r>
        <w:rPr>
          <w:rFonts w:hint="eastAsia"/>
          <w:b/>
          <w:bCs/>
          <w:szCs w:val="21"/>
        </w:rPr>
        <w:t xml:space="preserve"> </w:t>
      </w:r>
      <w:r>
        <w:rPr>
          <w:rFonts w:hint="eastAsia"/>
          <w:b/>
          <w:bCs/>
          <w:szCs w:val="21"/>
          <w:lang w:val="en-US" w:eastAsia="zh-CN"/>
        </w:rPr>
        <w:t xml:space="preserve">IE </w:t>
      </w:r>
      <w:r>
        <w:rPr>
          <w:rFonts w:hint="eastAsia"/>
          <w:b/>
          <w:bCs/>
          <w:szCs w:val="21"/>
        </w:rPr>
        <w:t xml:space="preserve">is applied for both entering and leaving </w:t>
      </w:r>
      <w:r>
        <w:rPr>
          <w:b/>
          <w:bCs/>
          <w:szCs w:val="21"/>
        </w:rPr>
        <w:t>the</w:t>
      </w:r>
      <w:r>
        <w:rPr>
          <w:rFonts w:hint="eastAsia"/>
          <w:b/>
          <w:bCs/>
          <w:szCs w:val="21"/>
        </w:rPr>
        <w:t xml:space="preserve"> height range. </w:t>
      </w:r>
    </w:p>
    <w:p>
      <w:pPr>
        <w:spacing w:after="0" w:line="240" w:lineRule="auto"/>
        <w:ind w:left="1069" w:hanging="1069" w:hangingChars="507"/>
        <w:jc w:val="left"/>
        <w:rPr>
          <w:rFonts w:hint="eastAsia"/>
          <w:b/>
          <w:bCs/>
          <w:szCs w:val="21"/>
          <w:lang w:val="en-US" w:eastAsia="zh-CN"/>
        </w:rPr>
      </w:pPr>
      <w:r>
        <w:rPr>
          <w:rFonts w:hint="eastAsia"/>
          <w:b/>
          <w:bCs/>
          <w:szCs w:val="21"/>
          <w:lang w:val="en-US" w:eastAsia="zh-CN"/>
        </w:rPr>
        <w:t>Proposal 3: T</w:t>
      </w:r>
      <w:r>
        <w:rPr>
          <w:b/>
          <w:bCs/>
          <w:szCs w:val="21"/>
        </w:rPr>
        <w:t xml:space="preserve">o capture in the specification how to apply the </w:t>
      </w:r>
      <w:r>
        <w:rPr>
          <w:b/>
          <w:bCs/>
          <w:i/>
          <w:szCs w:val="21"/>
        </w:rPr>
        <w:t>heightHsyt-r18</w:t>
      </w:r>
      <w:r>
        <w:rPr>
          <w:rFonts w:hint="eastAsia"/>
          <w:b/>
          <w:bCs/>
          <w:i/>
          <w:szCs w:val="21"/>
          <w:lang w:val="en-US" w:eastAsia="zh-CN"/>
        </w:rPr>
        <w:t xml:space="preserve"> </w:t>
      </w:r>
      <w:r>
        <w:rPr>
          <w:rFonts w:hint="eastAsia"/>
          <w:b/>
          <w:bCs/>
          <w:i w:val="0"/>
          <w:iCs/>
          <w:szCs w:val="21"/>
          <w:lang w:val="en-US" w:eastAsia="zh-CN"/>
        </w:rPr>
        <w:t>in</w:t>
      </w:r>
      <w:r>
        <w:rPr>
          <w:rFonts w:hint="eastAsia"/>
          <w:b/>
          <w:bCs/>
          <w:i w:val="0"/>
          <w:iCs/>
          <w:szCs w:val="21"/>
        </w:rPr>
        <w:t xml:space="preserve"> height-based SSB-ToMeasure</w:t>
      </w:r>
      <w:r>
        <w:rPr>
          <w:rFonts w:hint="eastAsia"/>
          <w:b/>
          <w:bCs/>
          <w:i w:val="0"/>
          <w:iCs/>
          <w:szCs w:val="21"/>
          <w:lang w:val="en-US" w:eastAsia="zh-CN"/>
        </w:rPr>
        <w:t xml:space="preserve"> configuration</w:t>
      </w:r>
      <w:r>
        <w:rPr>
          <w:rFonts w:hint="eastAsia"/>
          <w:b/>
          <w:bCs/>
          <w:szCs w:val="21"/>
          <w:lang w:val="en-US" w:eastAsia="zh-CN"/>
        </w:rPr>
        <w:t>:</w:t>
      </w:r>
    </w:p>
    <w:p>
      <w:pPr>
        <w:numPr>
          <w:ilvl w:val="0"/>
          <w:numId w:val="8"/>
        </w:numPr>
        <w:spacing w:after="0" w:line="240" w:lineRule="auto"/>
        <w:ind w:left="1470" w:leftChars="500" w:hanging="420" w:firstLineChars="0"/>
        <w:jc w:val="left"/>
        <w:rPr>
          <w:rFonts w:hint="eastAsia" w:eastAsiaTheme="minorEastAsia"/>
          <w:b w:val="0"/>
          <w:bCs w:val="0"/>
          <w:szCs w:val="21"/>
          <w:lang w:val="en-US" w:eastAsia="zh-CN"/>
        </w:rPr>
      </w:pPr>
      <w:r>
        <w:rPr>
          <w:rFonts w:hint="eastAsia"/>
          <w:b w:val="0"/>
          <w:bCs w:val="0"/>
          <w:szCs w:val="21"/>
          <w:lang w:val="en-US" w:eastAsia="zh-CN"/>
        </w:rPr>
        <w:t>T</w:t>
      </w:r>
      <w:r>
        <w:rPr>
          <w:b w:val="0"/>
          <w:bCs w:val="0"/>
          <w:szCs w:val="21"/>
        </w:rPr>
        <w:t xml:space="preserve">he </w:t>
      </w:r>
      <w:r>
        <w:rPr>
          <w:rFonts w:hint="eastAsia"/>
          <w:b w:val="0"/>
          <w:bCs w:val="0"/>
          <w:szCs w:val="21"/>
        </w:rPr>
        <w:t>entering</w:t>
      </w:r>
      <w:r>
        <w:rPr>
          <w:b w:val="0"/>
          <w:bCs w:val="0"/>
          <w:szCs w:val="21"/>
        </w:rPr>
        <w:t xml:space="preserve"> </w:t>
      </w:r>
      <w:r>
        <w:rPr>
          <w:rFonts w:hint="eastAsia"/>
          <w:b w:val="0"/>
          <w:bCs w:val="0"/>
          <w:szCs w:val="21"/>
        </w:rPr>
        <w:t>con</w:t>
      </w:r>
      <w:r>
        <w:rPr>
          <w:b w:val="0"/>
          <w:bCs w:val="0"/>
          <w:szCs w:val="21"/>
        </w:rPr>
        <w:t>dition can be defined as following (flying into the range)</w:t>
      </w:r>
      <w:r>
        <w:rPr>
          <w:rFonts w:hint="eastAsia"/>
          <w:b w:val="0"/>
          <w:bCs w:val="0"/>
          <w:szCs w:val="21"/>
          <w:lang w:val="en-US" w:eastAsia="zh-CN"/>
        </w:rPr>
        <w:t>:</w:t>
      </w:r>
    </w:p>
    <w:p>
      <w:pPr>
        <w:numPr>
          <w:ilvl w:val="0"/>
          <w:numId w:val="0"/>
        </w:numPr>
        <w:spacing w:after="0" w:line="240" w:lineRule="auto"/>
        <w:ind w:left="1470" w:leftChars="700"/>
        <w:jc w:val="left"/>
        <w:rPr>
          <w:b w:val="0"/>
          <w:bCs w:val="0"/>
          <w:szCs w:val="21"/>
        </w:rPr>
      </w:pPr>
      <w:r>
        <w:rPr>
          <w:b w:val="0"/>
          <w:bCs w:val="0"/>
          <w:szCs w:val="21"/>
        </w:rPr>
        <w:t xml:space="preserve">current height – </w:t>
      </w:r>
      <w:r>
        <w:rPr>
          <w:b w:val="0"/>
          <w:bCs w:val="0"/>
          <w:i/>
          <w:szCs w:val="21"/>
        </w:rPr>
        <w:t>heightHyst-r18</w:t>
      </w:r>
      <w:r>
        <w:rPr>
          <w:b w:val="0"/>
          <w:bCs w:val="0"/>
          <w:szCs w:val="21"/>
        </w:rPr>
        <w:t xml:space="preserve"> &gt; </w:t>
      </w:r>
      <w:r>
        <w:rPr>
          <w:b w:val="0"/>
          <w:bCs w:val="0"/>
          <w:i/>
          <w:szCs w:val="21"/>
        </w:rPr>
        <w:t>heightMin-r18,</w:t>
      </w:r>
      <w:r>
        <w:rPr>
          <w:b w:val="0"/>
          <w:bCs w:val="0"/>
          <w:szCs w:val="21"/>
        </w:rPr>
        <w:t xml:space="preserve"> or, </w:t>
      </w:r>
    </w:p>
    <w:p>
      <w:pPr>
        <w:numPr>
          <w:ilvl w:val="0"/>
          <w:numId w:val="0"/>
        </w:numPr>
        <w:spacing w:after="0" w:line="240" w:lineRule="auto"/>
        <w:ind w:left="1470" w:leftChars="700"/>
        <w:jc w:val="left"/>
        <w:rPr>
          <w:b w:val="0"/>
          <w:bCs w:val="0"/>
          <w:szCs w:val="21"/>
        </w:rPr>
      </w:pPr>
      <w:r>
        <w:rPr>
          <w:b w:val="0"/>
          <w:bCs w:val="0"/>
          <w:szCs w:val="21"/>
        </w:rPr>
        <w:t xml:space="preserve">current height + </w:t>
      </w:r>
      <w:r>
        <w:rPr>
          <w:rFonts w:hint="eastAsia"/>
          <w:b w:val="0"/>
          <w:bCs w:val="0"/>
          <w:i/>
          <w:szCs w:val="21"/>
        </w:rPr>
        <w:t>height</w:t>
      </w:r>
      <w:r>
        <w:rPr>
          <w:b w:val="0"/>
          <w:bCs w:val="0"/>
          <w:i/>
          <w:szCs w:val="21"/>
        </w:rPr>
        <w:t>Hyst-r18</w:t>
      </w:r>
      <w:r>
        <w:rPr>
          <w:b w:val="0"/>
          <w:bCs w:val="0"/>
          <w:szCs w:val="21"/>
        </w:rPr>
        <w:t xml:space="preserve"> &lt; </w:t>
      </w:r>
      <w:r>
        <w:rPr>
          <w:b w:val="0"/>
          <w:bCs w:val="0"/>
          <w:i/>
          <w:szCs w:val="21"/>
        </w:rPr>
        <w:t>heightMax-r18</w:t>
      </w:r>
    </w:p>
    <w:p>
      <w:pPr>
        <w:numPr>
          <w:ilvl w:val="0"/>
          <w:numId w:val="8"/>
        </w:numPr>
        <w:spacing w:after="0" w:line="240" w:lineRule="auto"/>
        <w:ind w:left="1470" w:leftChars="500" w:hanging="420" w:firstLineChars="0"/>
        <w:jc w:val="left"/>
        <w:rPr>
          <w:b w:val="0"/>
          <w:bCs w:val="0"/>
          <w:szCs w:val="21"/>
        </w:rPr>
      </w:pPr>
      <w:r>
        <w:rPr>
          <w:b w:val="0"/>
          <w:bCs w:val="0"/>
          <w:szCs w:val="21"/>
        </w:rPr>
        <w:t>The leaving condition can be defined as following (flying out of the range):</w:t>
      </w:r>
    </w:p>
    <w:p>
      <w:pPr>
        <w:numPr>
          <w:ilvl w:val="0"/>
          <w:numId w:val="0"/>
        </w:numPr>
        <w:spacing w:after="0" w:line="240" w:lineRule="auto"/>
        <w:ind w:left="1470" w:leftChars="700"/>
        <w:jc w:val="left"/>
        <w:rPr>
          <w:b w:val="0"/>
          <w:bCs w:val="0"/>
          <w:szCs w:val="21"/>
        </w:rPr>
      </w:pPr>
      <w:r>
        <w:rPr>
          <w:b w:val="0"/>
          <w:bCs w:val="0"/>
          <w:szCs w:val="21"/>
        </w:rPr>
        <w:t xml:space="preserve">current height + </w:t>
      </w:r>
      <w:bookmarkStart w:id="6" w:name="_GoBack"/>
      <w:bookmarkEnd w:id="6"/>
      <w:r>
        <w:rPr>
          <w:b w:val="0"/>
          <w:bCs w:val="0"/>
          <w:i/>
          <w:szCs w:val="21"/>
        </w:rPr>
        <w:t>heightHyst-</w:t>
      </w:r>
      <w:r>
        <w:rPr>
          <w:rFonts w:hint="eastAsia"/>
          <w:b w:val="0"/>
          <w:bCs w:val="0"/>
          <w:i/>
          <w:szCs w:val="21"/>
        </w:rPr>
        <w:t>r</w:t>
      </w:r>
      <w:r>
        <w:rPr>
          <w:b w:val="0"/>
          <w:bCs w:val="0"/>
          <w:i/>
          <w:szCs w:val="21"/>
        </w:rPr>
        <w:t>1</w:t>
      </w:r>
      <w:r>
        <w:rPr>
          <w:rFonts w:hint="eastAsia"/>
          <w:b w:val="0"/>
          <w:bCs w:val="0"/>
          <w:i/>
          <w:szCs w:val="21"/>
        </w:rPr>
        <w:t>8</w:t>
      </w:r>
      <w:r>
        <w:rPr>
          <w:b w:val="0"/>
          <w:bCs w:val="0"/>
          <w:szCs w:val="21"/>
        </w:rPr>
        <w:t xml:space="preserve"> &lt; </w:t>
      </w:r>
      <w:r>
        <w:rPr>
          <w:b w:val="0"/>
          <w:bCs w:val="0"/>
          <w:i/>
          <w:szCs w:val="21"/>
        </w:rPr>
        <w:t>heightMin-r18</w:t>
      </w:r>
      <w:r>
        <w:rPr>
          <w:b w:val="0"/>
          <w:bCs w:val="0"/>
          <w:szCs w:val="21"/>
        </w:rPr>
        <w:t>, or</w:t>
      </w:r>
    </w:p>
    <w:p>
      <w:pPr>
        <w:numPr>
          <w:ilvl w:val="0"/>
          <w:numId w:val="0"/>
        </w:numPr>
        <w:spacing w:after="0" w:line="240" w:lineRule="auto"/>
        <w:ind w:left="1470" w:leftChars="700"/>
        <w:jc w:val="left"/>
        <w:rPr>
          <w:rFonts w:hint="eastAsia"/>
          <w:b w:val="0"/>
          <w:bCs w:val="0"/>
          <w:szCs w:val="21"/>
        </w:rPr>
      </w:pPr>
      <w:r>
        <w:rPr>
          <w:b w:val="0"/>
          <w:bCs w:val="0"/>
          <w:szCs w:val="21"/>
        </w:rPr>
        <w:t xml:space="preserve">current height – </w:t>
      </w:r>
      <w:r>
        <w:rPr>
          <w:b w:val="0"/>
          <w:bCs w:val="0"/>
          <w:i/>
          <w:szCs w:val="21"/>
        </w:rPr>
        <w:t>heightHyst-r18</w:t>
      </w:r>
      <w:r>
        <w:rPr>
          <w:b w:val="0"/>
          <w:bCs w:val="0"/>
          <w:szCs w:val="21"/>
        </w:rPr>
        <w:t xml:space="preserve"> &gt; </w:t>
      </w:r>
      <w:r>
        <w:rPr>
          <w:b w:val="0"/>
          <w:bCs w:val="0"/>
          <w:i/>
          <w:szCs w:val="21"/>
        </w:rPr>
        <w:t>heightMax-r18</w:t>
      </w:r>
    </w:p>
    <w:p>
      <w:pPr>
        <w:spacing w:after="0" w:line="240" w:lineRule="auto"/>
        <w:ind w:left="1069" w:hanging="1069" w:hangingChars="507"/>
        <w:jc w:val="left"/>
        <w:rPr>
          <w:b/>
          <w:szCs w:val="21"/>
        </w:rPr>
      </w:pPr>
      <w:r>
        <w:rPr>
          <w:b/>
          <w:bCs/>
          <w:szCs w:val="21"/>
        </w:rPr>
        <w:t>Proposa</w:t>
      </w:r>
      <w:r>
        <w:rPr>
          <w:rFonts w:hint="eastAsia"/>
          <w:b/>
          <w:bCs/>
          <w:szCs w:val="21"/>
        </w:rPr>
        <w:t>l</w:t>
      </w:r>
      <w:r>
        <w:rPr>
          <w:b/>
          <w:szCs w:val="21"/>
        </w:rPr>
        <w:t xml:space="preserve"> </w:t>
      </w:r>
      <w:r>
        <w:rPr>
          <w:rFonts w:hint="eastAsia"/>
          <w:b/>
          <w:szCs w:val="21"/>
          <w:lang w:val="en-US" w:eastAsia="zh-CN"/>
        </w:rPr>
        <w:t>4</w:t>
      </w:r>
      <w:r>
        <w:rPr>
          <w:rFonts w:hint="eastAsia"/>
          <w:b/>
          <w:szCs w:val="21"/>
        </w:rPr>
        <w:t>:</w:t>
      </w:r>
      <w:r>
        <w:rPr>
          <w:b/>
          <w:szCs w:val="21"/>
        </w:rPr>
        <w:t xml:space="preserve"> RAN2 to </w:t>
      </w:r>
      <w:r>
        <w:rPr>
          <w:rFonts w:hint="eastAsia"/>
          <w:b/>
          <w:szCs w:val="21"/>
          <w:lang w:val="en-US" w:eastAsia="zh-CN"/>
        </w:rPr>
        <w:t>agree</w:t>
      </w:r>
      <w:r>
        <w:rPr>
          <w:b/>
          <w:szCs w:val="21"/>
        </w:rPr>
        <w:t xml:space="preserve"> the overlapping in height range is not allowed for height-based </w:t>
      </w:r>
      <w:r>
        <w:rPr>
          <w:b/>
          <w:i/>
          <w:szCs w:val="21"/>
        </w:rPr>
        <w:t>SSB-ToMeasure</w:t>
      </w:r>
      <w:r>
        <w:rPr>
          <w:b/>
          <w:szCs w:val="21"/>
        </w:rPr>
        <w:t>.</w:t>
      </w:r>
    </w:p>
    <w:p>
      <w:pPr>
        <w:spacing w:after="0" w:line="240" w:lineRule="auto"/>
        <w:ind w:left="1069" w:hanging="1069" w:hangingChars="507"/>
        <w:jc w:val="left"/>
        <w:rPr>
          <w:b/>
          <w:szCs w:val="21"/>
        </w:rPr>
      </w:pPr>
      <w:r>
        <w:rPr>
          <w:b/>
          <w:bCs/>
          <w:szCs w:val="21"/>
        </w:rPr>
        <w:t xml:space="preserve">Proposal </w:t>
      </w:r>
      <w:r>
        <w:rPr>
          <w:rFonts w:hint="eastAsia"/>
          <w:b/>
          <w:bCs/>
          <w:szCs w:val="21"/>
          <w:lang w:val="en-US" w:eastAsia="zh-CN"/>
        </w:rPr>
        <w:t>4a</w:t>
      </w:r>
      <w:r>
        <w:rPr>
          <w:b/>
          <w:bCs/>
          <w:szCs w:val="21"/>
        </w:rPr>
        <w:t xml:space="preserve">: </w:t>
      </w:r>
      <w:r>
        <w:rPr>
          <w:rFonts w:hint="eastAsia"/>
          <w:b/>
          <w:bCs/>
          <w:szCs w:val="21"/>
          <w:lang w:val="en-US" w:eastAsia="zh-CN"/>
        </w:rPr>
        <w:t>I</w:t>
      </w:r>
      <w:r>
        <w:rPr>
          <w:b/>
          <w:bCs/>
          <w:szCs w:val="21"/>
        </w:rPr>
        <w:t>f RAN2 agrees overlapping in height range is not allowed, RAN2 to choose one of following</w:t>
      </w:r>
      <w:r>
        <w:rPr>
          <w:b/>
          <w:szCs w:val="21"/>
        </w:rPr>
        <w:t xml:space="preserve"> options</w:t>
      </w:r>
      <w:r>
        <w:rPr>
          <w:rFonts w:hint="eastAsia"/>
          <w:b/>
          <w:szCs w:val="21"/>
          <w:lang w:val="en-US" w:eastAsia="zh-CN"/>
        </w:rPr>
        <w:t xml:space="preserve"> to avoid the overlapping</w:t>
      </w:r>
      <w:r>
        <w:rPr>
          <w:b/>
          <w:szCs w:val="21"/>
        </w:rPr>
        <w:t xml:space="preserve">: </w:t>
      </w:r>
    </w:p>
    <w:p>
      <w:pPr>
        <w:numPr>
          <w:ilvl w:val="0"/>
          <w:numId w:val="8"/>
        </w:numPr>
        <w:spacing w:after="0" w:line="240" w:lineRule="auto"/>
        <w:ind w:left="1470" w:leftChars="500" w:hanging="420" w:firstLineChars="0"/>
        <w:jc w:val="left"/>
        <w:rPr>
          <w:b/>
          <w:bCs/>
          <w:szCs w:val="21"/>
        </w:rPr>
      </w:pPr>
      <w:r>
        <w:rPr>
          <w:b/>
          <w:bCs/>
          <w:szCs w:val="21"/>
        </w:rPr>
        <w:t>Option 1: Left to network configuration to ensure there is no overlapping in height ranges.</w:t>
      </w:r>
    </w:p>
    <w:p>
      <w:pPr>
        <w:numPr>
          <w:ilvl w:val="0"/>
          <w:numId w:val="8"/>
        </w:numPr>
        <w:spacing w:after="0" w:line="240" w:lineRule="auto"/>
        <w:ind w:left="1470" w:leftChars="500" w:hanging="420" w:firstLineChars="0"/>
        <w:jc w:val="left"/>
        <w:rPr>
          <w:b/>
          <w:bCs/>
          <w:szCs w:val="21"/>
        </w:rPr>
      </w:pPr>
      <w:r>
        <w:rPr>
          <w:b/>
          <w:bCs/>
          <w:szCs w:val="21"/>
        </w:rPr>
        <w:t xml:space="preserve">Option 2: </w:t>
      </w:r>
      <w:r>
        <w:rPr>
          <w:rFonts w:hint="eastAsia"/>
          <w:b/>
          <w:bCs/>
          <w:szCs w:val="21"/>
        </w:rPr>
        <w:t>T</w:t>
      </w:r>
      <w:r>
        <w:rPr>
          <w:b/>
          <w:bCs/>
          <w:szCs w:val="21"/>
        </w:rPr>
        <w:t>o specify a mechanism to ensure there is no overlapping in height range.</w:t>
      </w:r>
    </w:p>
    <w:p>
      <w:pPr>
        <w:spacing w:after="0" w:line="240" w:lineRule="auto"/>
        <w:ind w:left="1069" w:hanging="1069" w:hangingChars="507"/>
        <w:jc w:val="left"/>
        <w:rPr>
          <w:b/>
          <w:szCs w:val="21"/>
        </w:rPr>
      </w:pPr>
      <w:r>
        <w:rPr>
          <w:rFonts w:hint="eastAsia"/>
          <w:b/>
          <w:bCs/>
          <w:szCs w:val="21"/>
        </w:rPr>
        <w:t xml:space="preserve">Proposal </w:t>
      </w:r>
      <w:r>
        <w:rPr>
          <w:rFonts w:hint="eastAsia"/>
          <w:b/>
          <w:bCs/>
          <w:szCs w:val="21"/>
          <w:lang w:val="en-US" w:eastAsia="zh-CN"/>
        </w:rPr>
        <w:t>4b</w:t>
      </w:r>
      <w:r>
        <w:rPr>
          <w:rFonts w:hint="eastAsia"/>
          <w:b/>
          <w:bCs/>
          <w:szCs w:val="21"/>
        </w:rPr>
        <w:t xml:space="preserve">: </w:t>
      </w:r>
      <w:r>
        <w:rPr>
          <w:b/>
          <w:bCs/>
          <w:szCs w:val="21"/>
        </w:rPr>
        <w:t xml:space="preserve">If RAN2 </w:t>
      </w:r>
      <w:r>
        <w:rPr>
          <w:rFonts w:hint="eastAsia"/>
          <w:b/>
          <w:bCs/>
          <w:szCs w:val="21"/>
          <w:lang w:val="en-US" w:eastAsia="zh-CN"/>
        </w:rPr>
        <w:t>decide</w:t>
      </w:r>
      <w:r>
        <w:rPr>
          <w:b/>
          <w:bCs/>
          <w:szCs w:val="21"/>
        </w:rPr>
        <w:t xml:space="preserve">s overlapping in height ranges is allowed, </w:t>
      </w:r>
      <w:r>
        <w:rPr>
          <w:rFonts w:hint="eastAsia"/>
          <w:b/>
          <w:bCs/>
          <w:szCs w:val="21"/>
          <w:lang w:val="en-US" w:eastAsia="zh-CN"/>
        </w:rPr>
        <w:t>the</w:t>
      </w:r>
      <w:r>
        <w:rPr>
          <w:b/>
          <w:bCs/>
          <w:szCs w:val="21"/>
        </w:rPr>
        <w:t xml:space="preserve"> </w:t>
      </w:r>
      <w:r>
        <w:rPr>
          <w:b/>
          <w:szCs w:val="21"/>
        </w:rPr>
        <w:t>UE applies combination of SSB-ToMeasure of overlapped height ranges</w:t>
      </w:r>
      <w:r>
        <w:rPr>
          <w:rFonts w:hint="eastAsia"/>
          <w:b/>
          <w:szCs w:val="21"/>
        </w:rPr>
        <w:t>.</w:t>
      </w:r>
      <w:r>
        <w:rPr>
          <w:b/>
          <w:szCs w:val="21"/>
        </w:rPr>
        <w:t xml:space="preserve"> FFS on the spec impact.</w:t>
      </w:r>
    </w:p>
    <w:p>
      <w:pPr>
        <w:spacing w:after="0" w:line="240" w:lineRule="auto"/>
        <w:ind w:left="1069" w:hanging="1069" w:hangingChars="507"/>
        <w:jc w:val="left"/>
        <w:rPr>
          <w:b/>
          <w:bCs/>
          <w:szCs w:val="21"/>
        </w:rPr>
      </w:pPr>
      <w:r>
        <w:rPr>
          <w:rFonts w:hint="eastAsia"/>
          <w:b/>
          <w:bCs/>
          <w:szCs w:val="21"/>
        </w:rPr>
        <w:t>Proposal</w:t>
      </w:r>
      <w:r>
        <w:rPr>
          <w:b/>
          <w:bCs/>
          <w:szCs w:val="21"/>
        </w:rPr>
        <w:t xml:space="preserve"> </w:t>
      </w:r>
      <w:r>
        <w:rPr>
          <w:rFonts w:hint="eastAsia"/>
          <w:b/>
          <w:bCs/>
          <w:szCs w:val="21"/>
          <w:lang w:val="en-US" w:eastAsia="zh-CN"/>
        </w:rPr>
        <w:t>5</w:t>
      </w:r>
      <w:r>
        <w:rPr>
          <w:rFonts w:hint="eastAsia"/>
          <w:b/>
          <w:bCs/>
          <w:szCs w:val="21"/>
        </w:rPr>
        <w:t xml:space="preserve">: </w:t>
      </w:r>
      <w:r>
        <w:rPr>
          <w:rFonts w:hint="eastAsia"/>
          <w:b/>
          <w:bCs/>
          <w:szCs w:val="21"/>
          <w:lang w:val="en-US" w:eastAsia="zh-CN"/>
        </w:rPr>
        <w:t xml:space="preserve">RAN2 </w:t>
      </w:r>
      <w:r>
        <w:rPr>
          <w:b/>
          <w:bCs/>
          <w:szCs w:val="21"/>
        </w:rPr>
        <w:t>t</w:t>
      </w:r>
      <w:r>
        <w:rPr>
          <w:rFonts w:hint="eastAsia"/>
          <w:b/>
          <w:bCs/>
          <w:szCs w:val="21"/>
        </w:rPr>
        <w:t>o extend height-dependent</w:t>
      </w:r>
      <w:r>
        <w:rPr>
          <w:rFonts w:hint="eastAsia"/>
          <w:b/>
          <w:bCs/>
          <w:i/>
          <w:iCs/>
          <w:szCs w:val="21"/>
        </w:rPr>
        <w:t xml:space="preserve"> SSB-ToMeasure </w:t>
      </w:r>
      <w:r>
        <w:rPr>
          <w:rFonts w:hint="eastAsia"/>
          <w:b/>
          <w:bCs/>
          <w:szCs w:val="21"/>
          <w:lang w:val="en-US" w:eastAsia="zh-CN"/>
        </w:rPr>
        <w:t>for</w:t>
      </w:r>
      <w:r>
        <w:rPr>
          <w:rFonts w:hint="eastAsia"/>
          <w:b/>
          <w:bCs/>
          <w:szCs w:val="21"/>
        </w:rPr>
        <w:t xml:space="preserve"> RRM measurement </w:t>
      </w:r>
      <w:r>
        <w:rPr>
          <w:rFonts w:hint="eastAsia"/>
          <w:b/>
          <w:bCs/>
          <w:szCs w:val="21"/>
          <w:lang w:val="en-US" w:eastAsia="zh-CN"/>
        </w:rPr>
        <w:t>to</w:t>
      </w:r>
      <w:r>
        <w:rPr>
          <w:rFonts w:hint="eastAsia"/>
          <w:b/>
          <w:bCs/>
          <w:szCs w:val="21"/>
        </w:rPr>
        <w:t xml:space="preserve"> cell re-selection, Idle/Inactive measurements</w:t>
      </w:r>
      <w:r>
        <w:rPr>
          <w:b/>
          <w:bCs/>
          <w:szCs w:val="21"/>
        </w:rPr>
        <w:t xml:space="preserve"> and </w:t>
      </w:r>
      <w:r>
        <w:rPr>
          <w:rFonts w:hint="eastAsia"/>
          <w:b/>
          <w:bCs/>
          <w:szCs w:val="21"/>
        </w:rPr>
        <w:t>RACH resource selection.</w:t>
      </w:r>
    </w:p>
    <w:p>
      <w:pPr>
        <w:spacing w:after="0" w:line="240" w:lineRule="auto"/>
        <w:ind w:left="1069" w:hanging="1069" w:hangingChars="507"/>
        <w:jc w:val="left"/>
        <w:rPr>
          <w:b/>
          <w:bCs/>
          <w:szCs w:val="21"/>
        </w:rPr>
      </w:pPr>
      <w:r>
        <w:rPr>
          <w:b/>
          <w:bCs/>
          <w:szCs w:val="21"/>
        </w:rPr>
        <w:t xml:space="preserve">Proposal </w:t>
      </w:r>
      <w:r>
        <w:rPr>
          <w:rFonts w:hint="eastAsia"/>
          <w:b/>
          <w:bCs/>
          <w:szCs w:val="21"/>
          <w:lang w:val="en-US" w:eastAsia="zh-CN"/>
        </w:rPr>
        <w:t>6</w:t>
      </w:r>
      <w:r>
        <w:rPr>
          <w:b/>
          <w:bCs/>
          <w:szCs w:val="21"/>
        </w:rPr>
        <w:t>:</w:t>
      </w:r>
      <w:r>
        <w:rPr>
          <w:b/>
          <w:bCs/>
          <w:szCs w:val="21"/>
        </w:rPr>
        <w:tab/>
      </w:r>
      <w:r>
        <w:rPr>
          <w:b/>
          <w:bCs/>
          <w:szCs w:val="21"/>
        </w:rPr>
        <w:t>RAN2</w:t>
      </w:r>
      <w:r>
        <w:rPr>
          <w:rFonts w:hint="eastAsia"/>
          <w:b/>
          <w:bCs/>
          <w:szCs w:val="21"/>
        </w:rPr>
        <w:t xml:space="preserve"> </w:t>
      </w:r>
      <w:r>
        <w:rPr>
          <w:b/>
          <w:bCs/>
          <w:szCs w:val="21"/>
        </w:rPr>
        <w:t>to consider all SSBs</w:t>
      </w:r>
      <w:r>
        <w:rPr>
          <w:rFonts w:hint="eastAsia"/>
          <w:b/>
          <w:bCs/>
          <w:szCs w:val="21"/>
          <w:lang w:val="en-US" w:eastAsia="zh-CN"/>
        </w:rPr>
        <w:t xml:space="preserve"> for interference detection despite the </w:t>
      </w:r>
      <w:r>
        <w:rPr>
          <w:b/>
          <w:bCs/>
          <w:szCs w:val="21"/>
        </w:rPr>
        <w:t>height-based SSB-ToMeasure</w:t>
      </w:r>
      <w:r>
        <w:rPr>
          <w:rFonts w:hint="eastAsia"/>
          <w:b/>
          <w:bCs/>
          <w:szCs w:val="21"/>
          <w:lang w:val="en-US" w:eastAsia="zh-CN"/>
        </w:rPr>
        <w:t xml:space="preserve"> configuration</w:t>
      </w:r>
      <w:r>
        <w:rPr>
          <w:b/>
          <w:bCs/>
          <w:szCs w:val="21"/>
        </w:rPr>
        <w:t xml:space="preserve">, and to introduce separate </w:t>
      </w:r>
      <w:r>
        <w:rPr>
          <w:b/>
          <w:bCs/>
          <w:i/>
          <w:szCs w:val="21"/>
        </w:rPr>
        <w:t>nrofSS-BlocksToAverag</w:t>
      </w:r>
      <w:r>
        <w:rPr>
          <w:b/>
          <w:bCs/>
          <w:szCs w:val="21"/>
        </w:rPr>
        <w:t xml:space="preserve"> and </w:t>
      </w:r>
      <w:r>
        <w:rPr>
          <w:b/>
          <w:bCs/>
          <w:i/>
          <w:szCs w:val="21"/>
        </w:rPr>
        <w:t>absThreshSS-BlocksConsolidation</w:t>
      </w:r>
      <w:r>
        <w:rPr>
          <w:b/>
          <w:bCs/>
          <w:szCs w:val="21"/>
        </w:rPr>
        <w:t xml:space="preserve"> for interference detection.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9"/>
        </w:numPr>
        <w:overflowPunct w:val="0"/>
        <w:autoSpaceDE w:val="0"/>
        <w:autoSpaceDN w:val="0"/>
        <w:adjustRightInd w:val="0"/>
        <w:spacing w:after="0" w:line="240" w:lineRule="auto"/>
        <w:textAlignment w:val="baseline"/>
      </w:pPr>
      <w:r>
        <w:rPr>
          <w:rFonts w:hint="eastAsia"/>
        </w:rPr>
        <w:t>RAN2#121-bis chairman notes</w:t>
      </w:r>
    </w:p>
    <w:p>
      <w:pPr>
        <w:numPr>
          <w:ilvl w:val="0"/>
          <w:numId w:val="9"/>
        </w:numPr>
        <w:overflowPunct w:val="0"/>
        <w:autoSpaceDE w:val="0"/>
        <w:autoSpaceDN w:val="0"/>
        <w:adjustRightInd w:val="0"/>
        <w:spacing w:after="0" w:line="240" w:lineRule="auto"/>
        <w:textAlignment w:val="baseline"/>
      </w:pPr>
      <w:r>
        <w:rPr>
          <w:rFonts w:hint="eastAsia"/>
        </w:rPr>
        <w:t>RAN2#122 chairman notes</w:t>
      </w:r>
    </w:p>
    <w:p>
      <w:pPr>
        <w:numPr>
          <w:ilvl w:val="0"/>
          <w:numId w:val="9"/>
        </w:numPr>
        <w:overflowPunct w:val="0"/>
        <w:autoSpaceDE w:val="0"/>
        <w:autoSpaceDN w:val="0"/>
        <w:adjustRightInd w:val="0"/>
        <w:spacing w:after="0" w:line="240" w:lineRule="auto"/>
        <w:textAlignment w:val="baseline"/>
      </w:pPr>
      <w:r>
        <w:rPr>
          <w:rFonts w:hint="eastAsia"/>
        </w:rPr>
        <w:t>R</w:t>
      </w:r>
      <w:r>
        <w:t>AN2#123 chairman notes</w:t>
      </w:r>
    </w:p>
    <w:p>
      <w:pPr>
        <w:numPr>
          <w:ilvl w:val="0"/>
          <w:numId w:val="9"/>
        </w:numPr>
        <w:overflowPunct w:val="0"/>
        <w:autoSpaceDE w:val="0"/>
        <w:autoSpaceDN w:val="0"/>
        <w:adjustRightInd w:val="0"/>
        <w:spacing w:after="0" w:line="240" w:lineRule="auto"/>
        <w:textAlignment w:val="baseline"/>
      </w:pPr>
      <w:r>
        <w:rPr>
          <w:rFonts w:hint="eastAsia"/>
        </w:rPr>
        <w:t>TS 38.331</w:t>
      </w:r>
    </w:p>
    <w:sectPr>
      <w:pgSz w:w="11906" w:h="16838"/>
      <w:pgMar w:top="1417" w:right="1416"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66004E"/>
    <w:multiLevelType w:val="multilevel"/>
    <w:tmpl w:val="DA66004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5EF78A8"/>
    <w:multiLevelType w:val="multilevel"/>
    <w:tmpl w:val="25EF78A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396D56AB"/>
    <w:multiLevelType w:val="multilevel"/>
    <w:tmpl w:val="396D56A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CE233B0"/>
    <w:multiLevelType w:val="singleLevel"/>
    <w:tmpl w:val="6CE233B0"/>
    <w:lvl w:ilvl="0" w:tentative="0">
      <w:start w:val="1"/>
      <w:numFmt w:val="bullet"/>
      <w:lvlText w:val="▪"/>
      <w:lvlJc w:val="left"/>
      <w:pPr>
        <w:ind w:left="420" w:leftChars="0" w:hanging="420" w:firstLineChars="0"/>
      </w:pPr>
      <w:rPr>
        <w:rFonts w:hint="default" w:ascii="Arial" w:hAnsi="Arial" w:cs="Arial"/>
      </w:rPr>
    </w:lvl>
  </w:abstractNum>
  <w:abstractNum w:abstractNumId="8">
    <w:nsid w:val="75AB7577"/>
    <w:multiLevelType w:val="multilevel"/>
    <w:tmpl w:val="75AB757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num w:numId="1">
    <w:abstractNumId w:val="1"/>
  </w:num>
  <w:num w:numId="2">
    <w:abstractNumId w:val="6"/>
  </w:num>
  <w:num w:numId="3">
    <w:abstractNumId w:val="2"/>
  </w:num>
  <w:num w:numId="4">
    <w:abstractNumId w:val="5"/>
  </w:num>
  <w:num w:numId="5">
    <w:abstractNumId w:val="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5035"/>
    <w:rsid w:val="00016A27"/>
    <w:rsid w:val="000172F4"/>
    <w:rsid w:val="00017BA5"/>
    <w:rsid w:val="00021259"/>
    <w:rsid w:val="00021359"/>
    <w:rsid w:val="000248FC"/>
    <w:rsid w:val="0002660A"/>
    <w:rsid w:val="00026899"/>
    <w:rsid w:val="0002698B"/>
    <w:rsid w:val="000273F1"/>
    <w:rsid w:val="00031667"/>
    <w:rsid w:val="00035EF9"/>
    <w:rsid w:val="00037973"/>
    <w:rsid w:val="00040427"/>
    <w:rsid w:val="00040A63"/>
    <w:rsid w:val="0004105F"/>
    <w:rsid w:val="00042E6F"/>
    <w:rsid w:val="00043923"/>
    <w:rsid w:val="0005107A"/>
    <w:rsid w:val="000563ED"/>
    <w:rsid w:val="000569AB"/>
    <w:rsid w:val="000635B8"/>
    <w:rsid w:val="00064A85"/>
    <w:rsid w:val="000672AC"/>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3E1D"/>
    <w:rsid w:val="00094334"/>
    <w:rsid w:val="00097209"/>
    <w:rsid w:val="00097368"/>
    <w:rsid w:val="0009777E"/>
    <w:rsid w:val="000A204F"/>
    <w:rsid w:val="000A2A28"/>
    <w:rsid w:val="000A2D0A"/>
    <w:rsid w:val="000A3A4E"/>
    <w:rsid w:val="000A53F5"/>
    <w:rsid w:val="000A5A53"/>
    <w:rsid w:val="000A634E"/>
    <w:rsid w:val="000A694E"/>
    <w:rsid w:val="000B1242"/>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B29"/>
    <w:rsid w:val="000E1125"/>
    <w:rsid w:val="000E1850"/>
    <w:rsid w:val="000E1993"/>
    <w:rsid w:val="000E3B8A"/>
    <w:rsid w:val="000E63FC"/>
    <w:rsid w:val="000F0A7B"/>
    <w:rsid w:val="000F32E2"/>
    <w:rsid w:val="00100030"/>
    <w:rsid w:val="00105872"/>
    <w:rsid w:val="00111C96"/>
    <w:rsid w:val="00111CE0"/>
    <w:rsid w:val="00111DF0"/>
    <w:rsid w:val="001128B8"/>
    <w:rsid w:val="001135C5"/>
    <w:rsid w:val="001147C0"/>
    <w:rsid w:val="00117E6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64EC"/>
    <w:rsid w:val="00147740"/>
    <w:rsid w:val="00150BAB"/>
    <w:rsid w:val="00153B68"/>
    <w:rsid w:val="001601B5"/>
    <w:rsid w:val="00160A40"/>
    <w:rsid w:val="001627D9"/>
    <w:rsid w:val="00171FF9"/>
    <w:rsid w:val="0017245C"/>
    <w:rsid w:val="00175874"/>
    <w:rsid w:val="001767E6"/>
    <w:rsid w:val="00176AC2"/>
    <w:rsid w:val="00177974"/>
    <w:rsid w:val="001802FB"/>
    <w:rsid w:val="001806A8"/>
    <w:rsid w:val="00180983"/>
    <w:rsid w:val="00181E5B"/>
    <w:rsid w:val="0018310D"/>
    <w:rsid w:val="00184193"/>
    <w:rsid w:val="00184E5A"/>
    <w:rsid w:val="00186C3C"/>
    <w:rsid w:val="00187FEF"/>
    <w:rsid w:val="00190A5F"/>
    <w:rsid w:val="00190A8D"/>
    <w:rsid w:val="001917BC"/>
    <w:rsid w:val="0019547D"/>
    <w:rsid w:val="00195E1F"/>
    <w:rsid w:val="00196645"/>
    <w:rsid w:val="00197997"/>
    <w:rsid w:val="00197AF3"/>
    <w:rsid w:val="001A36F9"/>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C66FB"/>
    <w:rsid w:val="001C7468"/>
    <w:rsid w:val="001D2914"/>
    <w:rsid w:val="001D2FB0"/>
    <w:rsid w:val="001D4420"/>
    <w:rsid w:val="001D7EA5"/>
    <w:rsid w:val="001E0341"/>
    <w:rsid w:val="001E1C36"/>
    <w:rsid w:val="001E25FD"/>
    <w:rsid w:val="001E3D8C"/>
    <w:rsid w:val="001E43EF"/>
    <w:rsid w:val="001E44CD"/>
    <w:rsid w:val="001E5F91"/>
    <w:rsid w:val="001E6F40"/>
    <w:rsid w:val="001F30BD"/>
    <w:rsid w:val="001F3DF5"/>
    <w:rsid w:val="001F4346"/>
    <w:rsid w:val="001F7A9A"/>
    <w:rsid w:val="001F7FD8"/>
    <w:rsid w:val="00200DAA"/>
    <w:rsid w:val="00201FFE"/>
    <w:rsid w:val="00202C4B"/>
    <w:rsid w:val="00202F5C"/>
    <w:rsid w:val="00205CC0"/>
    <w:rsid w:val="00206380"/>
    <w:rsid w:val="00212EB1"/>
    <w:rsid w:val="002155FA"/>
    <w:rsid w:val="00217023"/>
    <w:rsid w:val="002176DE"/>
    <w:rsid w:val="00220022"/>
    <w:rsid w:val="00223A87"/>
    <w:rsid w:val="00223B64"/>
    <w:rsid w:val="00224379"/>
    <w:rsid w:val="0023029F"/>
    <w:rsid w:val="0023057D"/>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49BF"/>
    <w:rsid w:val="00275699"/>
    <w:rsid w:val="00280BDD"/>
    <w:rsid w:val="00280FBF"/>
    <w:rsid w:val="00281718"/>
    <w:rsid w:val="002855D0"/>
    <w:rsid w:val="00287B56"/>
    <w:rsid w:val="00290E18"/>
    <w:rsid w:val="00291D54"/>
    <w:rsid w:val="0029406E"/>
    <w:rsid w:val="00297A88"/>
    <w:rsid w:val="002A600E"/>
    <w:rsid w:val="002B22C6"/>
    <w:rsid w:val="002B24A3"/>
    <w:rsid w:val="002B2BBC"/>
    <w:rsid w:val="002B351B"/>
    <w:rsid w:val="002B3B5D"/>
    <w:rsid w:val="002B3C48"/>
    <w:rsid w:val="002B3D8F"/>
    <w:rsid w:val="002B434C"/>
    <w:rsid w:val="002B4F1D"/>
    <w:rsid w:val="002B6723"/>
    <w:rsid w:val="002C0864"/>
    <w:rsid w:val="002C0F12"/>
    <w:rsid w:val="002C2EBF"/>
    <w:rsid w:val="002C3873"/>
    <w:rsid w:val="002C4649"/>
    <w:rsid w:val="002D00AA"/>
    <w:rsid w:val="002D044D"/>
    <w:rsid w:val="002D0F0A"/>
    <w:rsid w:val="002D35FA"/>
    <w:rsid w:val="002D3797"/>
    <w:rsid w:val="002D6461"/>
    <w:rsid w:val="002D650F"/>
    <w:rsid w:val="002D6E18"/>
    <w:rsid w:val="002E002E"/>
    <w:rsid w:val="002E079B"/>
    <w:rsid w:val="002E28F9"/>
    <w:rsid w:val="002E7525"/>
    <w:rsid w:val="002F01CA"/>
    <w:rsid w:val="002F029C"/>
    <w:rsid w:val="002F1163"/>
    <w:rsid w:val="002F3161"/>
    <w:rsid w:val="002F407E"/>
    <w:rsid w:val="002F5517"/>
    <w:rsid w:val="003005AF"/>
    <w:rsid w:val="00304EE4"/>
    <w:rsid w:val="00305358"/>
    <w:rsid w:val="0030650B"/>
    <w:rsid w:val="003112A7"/>
    <w:rsid w:val="00312C1A"/>
    <w:rsid w:val="00312DD1"/>
    <w:rsid w:val="00313308"/>
    <w:rsid w:val="003144CA"/>
    <w:rsid w:val="003171FD"/>
    <w:rsid w:val="003201FC"/>
    <w:rsid w:val="00321077"/>
    <w:rsid w:val="00322B00"/>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CEF"/>
    <w:rsid w:val="0034542E"/>
    <w:rsid w:val="00345FC0"/>
    <w:rsid w:val="003469FC"/>
    <w:rsid w:val="00347800"/>
    <w:rsid w:val="003504B5"/>
    <w:rsid w:val="003546A6"/>
    <w:rsid w:val="00354915"/>
    <w:rsid w:val="00354E6F"/>
    <w:rsid w:val="003577BE"/>
    <w:rsid w:val="00360BD7"/>
    <w:rsid w:val="00362FCF"/>
    <w:rsid w:val="0036468F"/>
    <w:rsid w:val="00366993"/>
    <w:rsid w:val="00370E0A"/>
    <w:rsid w:val="00371876"/>
    <w:rsid w:val="00372C00"/>
    <w:rsid w:val="00382FAE"/>
    <w:rsid w:val="003832DC"/>
    <w:rsid w:val="0038426C"/>
    <w:rsid w:val="00384541"/>
    <w:rsid w:val="00385326"/>
    <w:rsid w:val="00385C87"/>
    <w:rsid w:val="003863DA"/>
    <w:rsid w:val="00387F14"/>
    <w:rsid w:val="00391402"/>
    <w:rsid w:val="00391F87"/>
    <w:rsid w:val="00393338"/>
    <w:rsid w:val="00394979"/>
    <w:rsid w:val="00394FC5"/>
    <w:rsid w:val="00395D56"/>
    <w:rsid w:val="00396952"/>
    <w:rsid w:val="00396B4A"/>
    <w:rsid w:val="003A0084"/>
    <w:rsid w:val="003A150D"/>
    <w:rsid w:val="003A2A06"/>
    <w:rsid w:val="003A390E"/>
    <w:rsid w:val="003A3ACC"/>
    <w:rsid w:val="003A4C78"/>
    <w:rsid w:val="003A552B"/>
    <w:rsid w:val="003A66E6"/>
    <w:rsid w:val="003B132E"/>
    <w:rsid w:val="003B139B"/>
    <w:rsid w:val="003B1963"/>
    <w:rsid w:val="003B3A50"/>
    <w:rsid w:val="003B448B"/>
    <w:rsid w:val="003B4F2D"/>
    <w:rsid w:val="003C2194"/>
    <w:rsid w:val="003C3E62"/>
    <w:rsid w:val="003C54A8"/>
    <w:rsid w:val="003C5690"/>
    <w:rsid w:val="003C5A31"/>
    <w:rsid w:val="003D01E0"/>
    <w:rsid w:val="003D0EF8"/>
    <w:rsid w:val="003D0F37"/>
    <w:rsid w:val="003D1324"/>
    <w:rsid w:val="003D1455"/>
    <w:rsid w:val="003D2B72"/>
    <w:rsid w:val="003D42C7"/>
    <w:rsid w:val="003D74F3"/>
    <w:rsid w:val="003D7765"/>
    <w:rsid w:val="003E1518"/>
    <w:rsid w:val="003E1A5E"/>
    <w:rsid w:val="003E2DCD"/>
    <w:rsid w:val="003E42F6"/>
    <w:rsid w:val="003E48E7"/>
    <w:rsid w:val="003E7C95"/>
    <w:rsid w:val="003E7D68"/>
    <w:rsid w:val="003F0DCE"/>
    <w:rsid w:val="003F1437"/>
    <w:rsid w:val="003F448B"/>
    <w:rsid w:val="003F58F6"/>
    <w:rsid w:val="003F6316"/>
    <w:rsid w:val="00401149"/>
    <w:rsid w:val="00402720"/>
    <w:rsid w:val="00402985"/>
    <w:rsid w:val="00406113"/>
    <w:rsid w:val="00406593"/>
    <w:rsid w:val="004069B2"/>
    <w:rsid w:val="00410408"/>
    <w:rsid w:val="00411066"/>
    <w:rsid w:val="00413229"/>
    <w:rsid w:val="00417293"/>
    <w:rsid w:val="00417BBE"/>
    <w:rsid w:val="004228A3"/>
    <w:rsid w:val="004229AC"/>
    <w:rsid w:val="00423816"/>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B59"/>
    <w:rsid w:val="00482BBB"/>
    <w:rsid w:val="00485114"/>
    <w:rsid w:val="00485670"/>
    <w:rsid w:val="00485AE4"/>
    <w:rsid w:val="00486111"/>
    <w:rsid w:val="00487905"/>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067A"/>
    <w:rsid w:val="004F10CA"/>
    <w:rsid w:val="004F4675"/>
    <w:rsid w:val="004F4764"/>
    <w:rsid w:val="004F557E"/>
    <w:rsid w:val="00501570"/>
    <w:rsid w:val="005017DA"/>
    <w:rsid w:val="0050411A"/>
    <w:rsid w:val="0050619E"/>
    <w:rsid w:val="00506680"/>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164D"/>
    <w:rsid w:val="00552EBE"/>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77D15"/>
    <w:rsid w:val="005842C1"/>
    <w:rsid w:val="00585E04"/>
    <w:rsid w:val="00585EE4"/>
    <w:rsid w:val="005910DD"/>
    <w:rsid w:val="00593F48"/>
    <w:rsid w:val="005940C1"/>
    <w:rsid w:val="0059566C"/>
    <w:rsid w:val="0059585E"/>
    <w:rsid w:val="00597952"/>
    <w:rsid w:val="005A05A3"/>
    <w:rsid w:val="005A2641"/>
    <w:rsid w:val="005A3156"/>
    <w:rsid w:val="005A4048"/>
    <w:rsid w:val="005A53DF"/>
    <w:rsid w:val="005A6185"/>
    <w:rsid w:val="005B052E"/>
    <w:rsid w:val="005B220B"/>
    <w:rsid w:val="005B2E19"/>
    <w:rsid w:val="005B66D2"/>
    <w:rsid w:val="005B712D"/>
    <w:rsid w:val="005B72AF"/>
    <w:rsid w:val="005B7842"/>
    <w:rsid w:val="005C11FF"/>
    <w:rsid w:val="005C1AC7"/>
    <w:rsid w:val="005C20A4"/>
    <w:rsid w:val="005C2356"/>
    <w:rsid w:val="005C4B5D"/>
    <w:rsid w:val="005C75A2"/>
    <w:rsid w:val="005D3332"/>
    <w:rsid w:val="005D57F1"/>
    <w:rsid w:val="005D680C"/>
    <w:rsid w:val="005D747F"/>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233"/>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6AED"/>
    <w:rsid w:val="006372D3"/>
    <w:rsid w:val="006408DC"/>
    <w:rsid w:val="006413AD"/>
    <w:rsid w:val="00643A7A"/>
    <w:rsid w:val="0064545A"/>
    <w:rsid w:val="006503F8"/>
    <w:rsid w:val="00650D0F"/>
    <w:rsid w:val="00651856"/>
    <w:rsid w:val="00652024"/>
    <w:rsid w:val="006521E7"/>
    <w:rsid w:val="00655018"/>
    <w:rsid w:val="0065579F"/>
    <w:rsid w:val="0066451F"/>
    <w:rsid w:val="006702E2"/>
    <w:rsid w:val="00670351"/>
    <w:rsid w:val="006706AA"/>
    <w:rsid w:val="006718B7"/>
    <w:rsid w:val="00673154"/>
    <w:rsid w:val="00674597"/>
    <w:rsid w:val="006746B2"/>
    <w:rsid w:val="0067540D"/>
    <w:rsid w:val="0068365D"/>
    <w:rsid w:val="0068430C"/>
    <w:rsid w:val="00685237"/>
    <w:rsid w:val="00687C0B"/>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B52AC"/>
    <w:rsid w:val="006C2D21"/>
    <w:rsid w:val="006C5558"/>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A75"/>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6E63"/>
    <w:rsid w:val="00727D4D"/>
    <w:rsid w:val="00731322"/>
    <w:rsid w:val="00731764"/>
    <w:rsid w:val="00731E30"/>
    <w:rsid w:val="00734C6F"/>
    <w:rsid w:val="00736CDD"/>
    <w:rsid w:val="00736FEF"/>
    <w:rsid w:val="00737516"/>
    <w:rsid w:val="00741230"/>
    <w:rsid w:val="0074310F"/>
    <w:rsid w:val="00745B29"/>
    <w:rsid w:val="00745C1D"/>
    <w:rsid w:val="00745DB9"/>
    <w:rsid w:val="007517C3"/>
    <w:rsid w:val="00751F23"/>
    <w:rsid w:val="00752F68"/>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77CAB"/>
    <w:rsid w:val="00787A57"/>
    <w:rsid w:val="00787B7D"/>
    <w:rsid w:val="00791DE7"/>
    <w:rsid w:val="00792D48"/>
    <w:rsid w:val="00793203"/>
    <w:rsid w:val="00795931"/>
    <w:rsid w:val="00796A2A"/>
    <w:rsid w:val="00797BE2"/>
    <w:rsid w:val="007A053E"/>
    <w:rsid w:val="007A2A69"/>
    <w:rsid w:val="007A2C3A"/>
    <w:rsid w:val="007A532D"/>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2BDD"/>
    <w:rsid w:val="00833CF3"/>
    <w:rsid w:val="00835356"/>
    <w:rsid w:val="00836D5A"/>
    <w:rsid w:val="0083795A"/>
    <w:rsid w:val="00837A39"/>
    <w:rsid w:val="00837C9F"/>
    <w:rsid w:val="00840820"/>
    <w:rsid w:val="008408A5"/>
    <w:rsid w:val="00842419"/>
    <w:rsid w:val="00843379"/>
    <w:rsid w:val="008436F0"/>
    <w:rsid w:val="00843DAA"/>
    <w:rsid w:val="00843F40"/>
    <w:rsid w:val="008505B6"/>
    <w:rsid w:val="00850AD1"/>
    <w:rsid w:val="00851A3E"/>
    <w:rsid w:val="00852259"/>
    <w:rsid w:val="008533BB"/>
    <w:rsid w:val="00853419"/>
    <w:rsid w:val="0085593B"/>
    <w:rsid w:val="00855CBD"/>
    <w:rsid w:val="00856F99"/>
    <w:rsid w:val="00857C0F"/>
    <w:rsid w:val="00860FE6"/>
    <w:rsid w:val="00864678"/>
    <w:rsid w:val="00864D17"/>
    <w:rsid w:val="008719DB"/>
    <w:rsid w:val="00872250"/>
    <w:rsid w:val="008731B8"/>
    <w:rsid w:val="00873D16"/>
    <w:rsid w:val="008755CD"/>
    <w:rsid w:val="00876842"/>
    <w:rsid w:val="008775A0"/>
    <w:rsid w:val="00880F6C"/>
    <w:rsid w:val="00884241"/>
    <w:rsid w:val="008855E2"/>
    <w:rsid w:val="00886521"/>
    <w:rsid w:val="008937A3"/>
    <w:rsid w:val="0089509A"/>
    <w:rsid w:val="008A0AC8"/>
    <w:rsid w:val="008A31B4"/>
    <w:rsid w:val="008A4324"/>
    <w:rsid w:val="008A4FE1"/>
    <w:rsid w:val="008A5E28"/>
    <w:rsid w:val="008A6A82"/>
    <w:rsid w:val="008B4198"/>
    <w:rsid w:val="008B4609"/>
    <w:rsid w:val="008B725C"/>
    <w:rsid w:val="008C051E"/>
    <w:rsid w:val="008C1D6D"/>
    <w:rsid w:val="008C3E55"/>
    <w:rsid w:val="008C3F98"/>
    <w:rsid w:val="008C76B1"/>
    <w:rsid w:val="008D107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6E87"/>
    <w:rsid w:val="0091196A"/>
    <w:rsid w:val="00911DC9"/>
    <w:rsid w:val="00911DE4"/>
    <w:rsid w:val="009123FF"/>
    <w:rsid w:val="009137CD"/>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3273"/>
    <w:rsid w:val="00954F42"/>
    <w:rsid w:val="00957172"/>
    <w:rsid w:val="009578D1"/>
    <w:rsid w:val="00957A33"/>
    <w:rsid w:val="0096003B"/>
    <w:rsid w:val="00960601"/>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30A2"/>
    <w:rsid w:val="00984A31"/>
    <w:rsid w:val="00985DB7"/>
    <w:rsid w:val="0098614B"/>
    <w:rsid w:val="00986B3C"/>
    <w:rsid w:val="009903A8"/>
    <w:rsid w:val="00990997"/>
    <w:rsid w:val="00991070"/>
    <w:rsid w:val="00991140"/>
    <w:rsid w:val="0099291E"/>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165F"/>
    <w:rsid w:val="009C2086"/>
    <w:rsid w:val="009C2255"/>
    <w:rsid w:val="009C3006"/>
    <w:rsid w:val="009C495C"/>
    <w:rsid w:val="009D159F"/>
    <w:rsid w:val="009D1800"/>
    <w:rsid w:val="009D1E0D"/>
    <w:rsid w:val="009D213B"/>
    <w:rsid w:val="009D2A16"/>
    <w:rsid w:val="009D2E7A"/>
    <w:rsid w:val="009D3F2D"/>
    <w:rsid w:val="009D6952"/>
    <w:rsid w:val="009E068F"/>
    <w:rsid w:val="009E1B89"/>
    <w:rsid w:val="009E619C"/>
    <w:rsid w:val="009E7020"/>
    <w:rsid w:val="009E7045"/>
    <w:rsid w:val="009E748B"/>
    <w:rsid w:val="009F2244"/>
    <w:rsid w:val="009F3D12"/>
    <w:rsid w:val="009F4ECE"/>
    <w:rsid w:val="00A01159"/>
    <w:rsid w:val="00A035AF"/>
    <w:rsid w:val="00A03828"/>
    <w:rsid w:val="00A03B8C"/>
    <w:rsid w:val="00A03D3F"/>
    <w:rsid w:val="00A04BEB"/>
    <w:rsid w:val="00A04DE2"/>
    <w:rsid w:val="00A11A20"/>
    <w:rsid w:val="00A11DFB"/>
    <w:rsid w:val="00A11F1E"/>
    <w:rsid w:val="00A13708"/>
    <w:rsid w:val="00A13A0B"/>
    <w:rsid w:val="00A14BA5"/>
    <w:rsid w:val="00A15C80"/>
    <w:rsid w:val="00A15DA4"/>
    <w:rsid w:val="00A20607"/>
    <w:rsid w:val="00A20D0F"/>
    <w:rsid w:val="00A22250"/>
    <w:rsid w:val="00A2486B"/>
    <w:rsid w:val="00A25160"/>
    <w:rsid w:val="00A2769F"/>
    <w:rsid w:val="00A27E76"/>
    <w:rsid w:val="00A30A9E"/>
    <w:rsid w:val="00A31A13"/>
    <w:rsid w:val="00A323D7"/>
    <w:rsid w:val="00A32701"/>
    <w:rsid w:val="00A330EB"/>
    <w:rsid w:val="00A334CC"/>
    <w:rsid w:val="00A334D5"/>
    <w:rsid w:val="00A42BBE"/>
    <w:rsid w:val="00A44BE1"/>
    <w:rsid w:val="00A4500D"/>
    <w:rsid w:val="00A50415"/>
    <w:rsid w:val="00A51EFE"/>
    <w:rsid w:val="00A52CC4"/>
    <w:rsid w:val="00A542B8"/>
    <w:rsid w:val="00A54719"/>
    <w:rsid w:val="00A57F0E"/>
    <w:rsid w:val="00A604B1"/>
    <w:rsid w:val="00A612B9"/>
    <w:rsid w:val="00A6179E"/>
    <w:rsid w:val="00A6674B"/>
    <w:rsid w:val="00A66B14"/>
    <w:rsid w:val="00A66CF8"/>
    <w:rsid w:val="00A676FE"/>
    <w:rsid w:val="00A727DA"/>
    <w:rsid w:val="00A74F48"/>
    <w:rsid w:val="00A760E3"/>
    <w:rsid w:val="00A81A3A"/>
    <w:rsid w:val="00A82FB8"/>
    <w:rsid w:val="00A83E6C"/>
    <w:rsid w:val="00A84D8D"/>
    <w:rsid w:val="00A84EBB"/>
    <w:rsid w:val="00A854F8"/>
    <w:rsid w:val="00A900AE"/>
    <w:rsid w:val="00A9330E"/>
    <w:rsid w:val="00A938C0"/>
    <w:rsid w:val="00A939FB"/>
    <w:rsid w:val="00A93FD6"/>
    <w:rsid w:val="00A9447A"/>
    <w:rsid w:val="00A95040"/>
    <w:rsid w:val="00A95088"/>
    <w:rsid w:val="00A957EB"/>
    <w:rsid w:val="00A960AC"/>
    <w:rsid w:val="00A973F3"/>
    <w:rsid w:val="00AA2143"/>
    <w:rsid w:val="00AA3298"/>
    <w:rsid w:val="00AA41AA"/>
    <w:rsid w:val="00AA6892"/>
    <w:rsid w:val="00AB049C"/>
    <w:rsid w:val="00AB1D7B"/>
    <w:rsid w:val="00AB1EA3"/>
    <w:rsid w:val="00AB3399"/>
    <w:rsid w:val="00AB3D67"/>
    <w:rsid w:val="00AC1DB9"/>
    <w:rsid w:val="00AC4276"/>
    <w:rsid w:val="00AC464D"/>
    <w:rsid w:val="00AC4B2F"/>
    <w:rsid w:val="00AC51E8"/>
    <w:rsid w:val="00AD0CA9"/>
    <w:rsid w:val="00AD2407"/>
    <w:rsid w:val="00AD62D8"/>
    <w:rsid w:val="00AE5146"/>
    <w:rsid w:val="00AE55C5"/>
    <w:rsid w:val="00AE5A4F"/>
    <w:rsid w:val="00AE7B16"/>
    <w:rsid w:val="00AF0B65"/>
    <w:rsid w:val="00AF2E3E"/>
    <w:rsid w:val="00AF739D"/>
    <w:rsid w:val="00AF7EEF"/>
    <w:rsid w:val="00B00030"/>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77BF"/>
    <w:rsid w:val="00B500E6"/>
    <w:rsid w:val="00B5038B"/>
    <w:rsid w:val="00B52464"/>
    <w:rsid w:val="00B55CF3"/>
    <w:rsid w:val="00B57690"/>
    <w:rsid w:val="00B6461C"/>
    <w:rsid w:val="00B6656A"/>
    <w:rsid w:val="00B670CE"/>
    <w:rsid w:val="00B67B79"/>
    <w:rsid w:val="00B67E74"/>
    <w:rsid w:val="00B7195D"/>
    <w:rsid w:val="00B71B8A"/>
    <w:rsid w:val="00B82234"/>
    <w:rsid w:val="00B8283E"/>
    <w:rsid w:val="00B837AA"/>
    <w:rsid w:val="00B8791C"/>
    <w:rsid w:val="00B87D03"/>
    <w:rsid w:val="00B909E8"/>
    <w:rsid w:val="00B928EE"/>
    <w:rsid w:val="00B92AD5"/>
    <w:rsid w:val="00B94BA4"/>
    <w:rsid w:val="00B97DB5"/>
    <w:rsid w:val="00BA11AD"/>
    <w:rsid w:val="00BA2E0A"/>
    <w:rsid w:val="00BA69FF"/>
    <w:rsid w:val="00BB156E"/>
    <w:rsid w:val="00BB1660"/>
    <w:rsid w:val="00BB3ABA"/>
    <w:rsid w:val="00BB4FEC"/>
    <w:rsid w:val="00BB65B1"/>
    <w:rsid w:val="00BB69D5"/>
    <w:rsid w:val="00BC03E1"/>
    <w:rsid w:val="00BC4593"/>
    <w:rsid w:val="00BC7413"/>
    <w:rsid w:val="00BD05BF"/>
    <w:rsid w:val="00BD464A"/>
    <w:rsid w:val="00BD6CFB"/>
    <w:rsid w:val="00BD7546"/>
    <w:rsid w:val="00BE2594"/>
    <w:rsid w:val="00BE2902"/>
    <w:rsid w:val="00BE42CB"/>
    <w:rsid w:val="00BE571D"/>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169A3"/>
    <w:rsid w:val="00C202A6"/>
    <w:rsid w:val="00C205AA"/>
    <w:rsid w:val="00C21F2D"/>
    <w:rsid w:val="00C23439"/>
    <w:rsid w:val="00C24141"/>
    <w:rsid w:val="00C27213"/>
    <w:rsid w:val="00C277E7"/>
    <w:rsid w:val="00C278C2"/>
    <w:rsid w:val="00C31B6A"/>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A6D"/>
    <w:rsid w:val="00C52BAB"/>
    <w:rsid w:val="00C53622"/>
    <w:rsid w:val="00C54982"/>
    <w:rsid w:val="00C54B46"/>
    <w:rsid w:val="00C55B71"/>
    <w:rsid w:val="00C56DC0"/>
    <w:rsid w:val="00C621A1"/>
    <w:rsid w:val="00C63153"/>
    <w:rsid w:val="00C63CB8"/>
    <w:rsid w:val="00C65327"/>
    <w:rsid w:val="00C67382"/>
    <w:rsid w:val="00C6763C"/>
    <w:rsid w:val="00C67845"/>
    <w:rsid w:val="00C72471"/>
    <w:rsid w:val="00C72815"/>
    <w:rsid w:val="00C8086B"/>
    <w:rsid w:val="00C80B6E"/>
    <w:rsid w:val="00C82D97"/>
    <w:rsid w:val="00C830A1"/>
    <w:rsid w:val="00C84D14"/>
    <w:rsid w:val="00C86541"/>
    <w:rsid w:val="00C86840"/>
    <w:rsid w:val="00C9369C"/>
    <w:rsid w:val="00C93EDD"/>
    <w:rsid w:val="00C953EF"/>
    <w:rsid w:val="00C953F6"/>
    <w:rsid w:val="00C96A23"/>
    <w:rsid w:val="00CA0363"/>
    <w:rsid w:val="00CA06A4"/>
    <w:rsid w:val="00CA127C"/>
    <w:rsid w:val="00CA3F75"/>
    <w:rsid w:val="00CA501F"/>
    <w:rsid w:val="00CA59FA"/>
    <w:rsid w:val="00CA61CF"/>
    <w:rsid w:val="00CB1749"/>
    <w:rsid w:val="00CB3A9F"/>
    <w:rsid w:val="00CB5048"/>
    <w:rsid w:val="00CC10DA"/>
    <w:rsid w:val="00CC43B7"/>
    <w:rsid w:val="00CC46C5"/>
    <w:rsid w:val="00CD229F"/>
    <w:rsid w:val="00CD58DC"/>
    <w:rsid w:val="00CE0676"/>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17E2C"/>
    <w:rsid w:val="00D205D0"/>
    <w:rsid w:val="00D21306"/>
    <w:rsid w:val="00D2151A"/>
    <w:rsid w:val="00D22151"/>
    <w:rsid w:val="00D25539"/>
    <w:rsid w:val="00D25CA2"/>
    <w:rsid w:val="00D26BCB"/>
    <w:rsid w:val="00D275C6"/>
    <w:rsid w:val="00D27639"/>
    <w:rsid w:val="00D32004"/>
    <w:rsid w:val="00D41A51"/>
    <w:rsid w:val="00D41C22"/>
    <w:rsid w:val="00D4215A"/>
    <w:rsid w:val="00D42DFD"/>
    <w:rsid w:val="00D45E14"/>
    <w:rsid w:val="00D4755C"/>
    <w:rsid w:val="00D52834"/>
    <w:rsid w:val="00D53DA7"/>
    <w:rsid w:val="00D544FE"/>
    <w:rsid w:val="00D54C61"/>
    <w:rsid w:val="00D5596F"/>
    <w:rsid w:val="00D56C39"/>
    <w:rsid w:val="00D56F3F"/>
    <w:rsid w:val="00D576EB"/>
    <w:rsid w:val="00D61F13"/>
    <w:rsid w:val="00D621FB"/>
    <w:rsid w:val="00D65FA0"/>
    <w:rsid w:val="00D66C7F"/>
    <w:rsid w:val="00D672D6"/>
    <w:rsid w:val="00D67D4A"/>
    <w:rsid w:val="00D70B9D"/>
    <w:rsid w:val="00D72B46"/>
    <w:rsid w:val="00D74055"/>
    <w:rsid w:val="00D7446B"/>
    <w:rsid w:val="00D75D2E"/>
    <w:rsid w:val="00D76420"/>
    <w:rsid w:val="00D806A3"/>
    <w:rsid w:val="00D81AF8"/>
    <w:rsid w:val="00D81BAC"/>
    <w:rsid w:val="00D83149"/>
    <w:rsid w:val="00D83173"/>
    <w:rsid w:val="00D8380A"/>
    <w:rsid w:val="00D83AE0"/>
    <w:rsid w:val="00D85273"/>
    <w:rsid w:val="00D90A99"/>
    <w:rsid w:val="00D90CC5"/>
    <w:rsid w:val="00D92C6A"/>
    <w:rsid w:val="00D9680F"/>
    <w:rsid w:val="00DA12AB"/>
    <w:rsid w:val="00DA425F"/>
    <w:rsid w:val="00DB22C6"/>
    <w:rsid w:val="00DB3689"/>
    <w:rsid w:val="00DB3767"/>
    <w:rsid w:val="00DB39E0"/>
    <w:rsid w:val="00DB5558"/>
    <w:rsid w:val="00DB6AE3"/>
    <w:rsid w:val="00DC0D2A"/>
    <w:rsid w:val="00DC22BE"/>
    <w:rsid w:val="00DC45BF"/>
    <w:rsid w:val="00DC5E33"/>
    <w:rsid w:val="00DC5F62"/>
    <w:rsid w:val="00DC7567"/>
    <w:rsid w:val="00DC7FAF"/>
    <w:rsid w:val="00DD02BA"/>
    <w:rsid w:val="00DD100B"/>
    <w:rsid w:val="00DD3A57"/>
    <w:rsid w:val="00DD42F9"/>
    <w:rsid w:val="00DD7880"/>
    <w:rsid w:val="00DE1B4A"/>
    <w:rsid w:val="00DE2CFF"/>
    <w:rsid w:val="00DE3330"/>
    <w:rsid w:val="00DE5939"/>
    <w:rsid w:val="00DF4CBC"/>
    <w:rsid w:val="00DF5370"/>
    <w:rsid w:val="00E0032E"/>
    <w:rsid w:val="00E0205D"/>
    <w:rsid w:val="00E02703"/>
    <w:rsid w:val="00E052E2"/>
    <w:rsid w:val="00E07F67"/>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3DA7"/>
    <w:rsid w:val="00E45DCA"/>
    <w:rsid w:val="00E468CA"/>
    <w:rsid w:val="00E521EE"/>
    <w:rsid w:val="00E52C0C"/>
    <w:rsid w:val="00E61FB3"/>
    <w:rsid w:val="00E62B3D"/>
    <w:rsid w:val="00E6315A"/>
    <w:rsid w:val="00E65E86"/>
    <w:rsid w:val="00E71B00"/>
    <w:rsid w:val="00E73C7F"/>
    <w:rsid w:val="00E73F72"/>
    <w:rsid w:val="00E740D9"/>
    <w:rsid w:val="00E77036"/>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5536"/>
    <w:rsid w:val="00ED7856"/>
    <w:rsid w:val="00ED792B"/>
    <w:rsid w:val="00ED7DC2"/>
    <w:rsid w:val="00EE5769"/>
    <w:rsid w:val="00EE5CA6"/>
    <w:rsid w:val="00EE6916"/>
    <w:rsid w:val="00EF1335"/>
    <w:rsid w:val="00EF1557"/>
    <w:rsid w:val="00EF19AD"/>
    <w:rsid w:val="00EF3590"/>
    <w:rsid w:val="00EF4AE0"/>
    <w:rsid w:val="00EF6FA1"/>
    <w:rsid w:val="00F008C4"/>
    <w:rsid w:val="00F012FF"/>
    <w:rsid w:val="00F01A21"/>
    <w:rsid w:val="00F046E9"/>
    <w:rsid w:val="00F04831"/>
    <w:rsid w:val="00F07549"/>
    <w:rsid w:val="00F12DA8"/>
    <w:rsid w:val="00F1322B"/>
    <w:rsid w:val="00F13699"/>
    <w:rsid w:val="00F25BEF"/>
    <w:rsid w:val="00F25E6A"/>
    <w:rsid w:val="00F270BA"/>
    <w:rsid w:val="00F27317"/>
    <w:rsid w:val="00F308AF"/>
    <w:rsid w:val="00F32911"/>
    <w:rsid w:val="00F337F8"/>
    <w:rsid w:val="00F3464D"/>
    <w:rsid w:val="00F36774"/>
    <w:rsid w:val="00F36C2A"/>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5D5"/>
    <w:rsid w:val="00F6079F"/>
    <w:rsid w:val="00F64EA5"/>
    <w:rsid w:val="00F66A3D"/>
    <w:rsid w:val="00F66DF3"/>
    <w:rsid w:val="00F67AB2"/>
    <w:rsid w:val="00F73D21"/>
    <w:rsid w:val="00F74ED0"/>
    <w:rsid w:val="00F75B44"/>
    <w:rsid w:val="00F75E64"/>
    <w:rsid w:val="00F77AE0"/>
    <w:rsid w:val="00F81056"/>
    <w:rsid w:val="00F82B72"/>
    <w:rsid w:val="00F83593"/>
    <w:rsid w:val="00F837F7"/>
    <w:rsid w:val="00F86A45"/>
    <w:rsid w:val="00F90E30"/>
    <w:rsid w:val="00F917E4"/>
    <w:rsid w:val="00F91B00"/>
    <w:rsid w:val="00F9424D"/>
    <w:rsid w:val="00F943E7"/>
    <w:rsid w:val="00F94913"/>
    <w:rsid w:val="00F94DFC"/>
    <w:rsid w:val="00F96BAD"/>
    <w:rsid w:val="00FA1C39"/>
    <w:rsid w:val="00FA34B5"/>
    <w:rsid w:val="00FA5942"/>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0FF5F13"/>
    <w:rsid w:val="01093084"/>
    <w:rsid w:val="01131166"/>
    <w:rsid w:val="015074D5"/>
    <w:rsid w:val="016210DF"/>
    <w:rsid w:val="0165600B"/>
    <w:rsid w:val="016E3B27"/>
    <w:rsid w:val="01765EF2"/>
    <w:rsid w:val="01767489"/>
    <w:rsid w:val="01824A48"/>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D11B08"/>
    <w:rsid w:val="01EE78D1"/>
    <w:rsid w:val="02017286"/>
    <w:rsid w:val="020F2365"/>
    <w:rsid w:val="02115596"/>
    <w:rsid w:val="0212463B"/>
    <w:rsid w:val="02142423"/>
    <w:rsid w:val="02145888"/>
    <w:rsid w:val="021627D8"/>
    <w:rsid w:val="02193BD4"/>
    <w:rsid w:val="022D295E"/>
    <w:rsid w:val="02380A58"/>
    <w:rsid w:val="023E2A26"/>
    <w:rsid w:val="024412BB"/>
    <w:rsid w:val="02490685"/>
    <w:rsid w:val="024A4AC8"/>
    <w:rsid w:val="024B320F"/>
    <w:rsid w:val="025E22C8"/>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36F70"/>
    <w:rsid w:val="02E712F2"/>
    <w:rsid w:val="02E968F1"/>
    <w:rsid w:val="0310429F"/>
    <w:rsid w:val="03130048"/>
    <w:rsid w:val="03202434"/>
    <w:rsid w:val="03204437"/>
    <w:rsid w:val="032C42D8"/>
    <w:rsid w:val="033E499A"/>
    <w:rsid w:val="0347521D"/>
    <w:rsid w:val="035A5498"/>
    <w:rsid w:val="035B5483"/>
    <w:rsid w:val="03685A69"/>
    <w:rsid w:val="036C3B3B"/>
    <w:rsid w:val="036F0846"/>
    <w:rsid w:val="037175E3"/>
    <w:rsid w:val="03857386"/>
    <w:rsid w:val="03892EFE"/>
    <w:rsid w:val="03952494"/>
    <w:rsid w:val="03994D1D"/>
    <w:rsid w:val="039A2405"/>
    <w:rsid w:val="039A4F82"/>
    <w:rsid w:val="039A7700"/>
    <w:rsid w:val="039C19CD"/>
    <w:rsid w:val="03A13B95"/>
    <w:rsid w:val="03A74E48"/>
    <w:rsid w:val="03B21D7D"/>
    <w:rsid w:val="03B2360F"/>
    <w:rsid w:val="03BD31AF"/>
    <w:rsid w:val="03BE00C0"/>
    <w:rsid w:val="03D52450"/>
    <w:rsid w:val="03D63228"/>
    <w:rsid w:val="03E65927"/>
    <w:rsid w:val="03E9137F"/>
    <w:rsid w:val="03EA7693"/>
    <w:rsid w:val="03EB5E4F"/>
    <w:rsid w:val="03EC1D7B"/>
    <w:rsid w:val="03F148CD"/>
    <w:rsid w:val="03F334EB"/>
    <w:rsid w:val="03F61A65"/>
    <w:rsid w:val="03FA694A"/>
    <w:rsid w:val="03FE0DFE"/>
    <w:rsid w:val="04067142"/>
    <w:rsid w:val="040D6866"/>
    <w:rsid w:val="04167747"/>
    <w:rsid w:val="041C2081"/>
    <w:rsid w:val="042320E4"/>
    <w:rsid w:val="043373F7"/>
    <w:rsid w:val="043C128A"/>
    <w:rsid w:val="043E7F06"/>
    <w:rsid w:val="044469A4"/>
    <w:rsid w:val="04456CA0"/>
    <w:rsid w:val="0451320B"/>
    <w:rsid w:val="045749CF"/>
    <w:rsid w:val="045763FA"/>
    <w:rsid w:val="046F1C6A"/>
    <w:rsid w:val="047034F5"/>
    <w:rsid w:val="04754B65"/>
    <w:rsid w:val="04861082"/>
    <w:rsid w:val="048A123B"/>
    <w:rsid w:val="048C5BD9"/>
    <w:rsid w:val="04996B65"/>
    <w:rsid w:val="04C02971"/>
    <w:rsid w:val="04C0433E"/>
    <w:rsid w:val="04EB5671"/>
    <w:rsid w:val="04ED36E0"/>
    <w:rsid w:val="04FB5FD2"/>
    <w:rsid w:val="050C31AF"/>
    <w:rsid w:val="05174168"/>
    <w:rsid w:val="051E36E6"/>
    <w:rsid w:val="053166CA"/>
    <w:rsid w:val="05332C41"/>
    <w:rsid w:val="053B7663"/>
    <w:rsid w:val="054C7D3F"/>
    <w:rsid w:val="054D4214"/>
    <w:rsid w:val="05526E77"/>
    <w:rsid w:val="056D39BD"/>
    <w:rsid w:val="05710C88"/>
    <w:rsid w:val="058267E3"/>
    <w:rsid w:val="058442CB"/>
    <w:rsid w:val="05854823"/>
    <w:rsid w:val="05861966"/>
    <w:rsid w:val="05961927"/>
    <w:rsid w:val="05B21BDC"/>
    <w:rsid w:val="05D1713F"/>
    <w:rsid w:val="05D92123"/>
    <w:rsid w:val="05DB1F60"/>
    <w:rsid w:val="05E024B6"/>
    <w:rsid w:val="05F13BE9"/>
    <w:rsid w:val="05F178AC"/>
    <w:rsid w:val="06017A73"/>
    <w:rsid w:val="06022874"/>
    <w:rsid w:val="060A555D"/>
    <w:rsid w:val="060F2E18"/>
    <w:rsid w:val="06136726"/>
    <w:rsid w:val="061F64DF"/>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4BF0"/>
    <w:rsid w:val="06DA5822"/>
    <w:rsid w:val="06EE5F3A"/>
    <w:rsid w:val="06F628A6"/>
    <w:rsid w:val="06F90F74"/>
    <w:rsid w:val="06FC5420"/>
    <w:rsid w:val="06FE56CC"/>
    <w:rsid w:val="0701056C"/>
    <w:rsid w:val="07056544"/>
    <w:rsid w:val="0706413A"/>
    <w:rsid w:val="070A19CE"/>
    <w:rsid w:val="070F4249"/>
    <w:rsid w:val="071E610B"/>
    <w:rsid w:val="07387A0E"/>
    <w:rsid w:val="074A02C8"/>
    <w:rsid w:val="074B5180"/>
    <w:rsid w:val="07505A8A"/>
    <w:rsid w:val="075926F1"/>
    <w:rsid w:val="07625AB8"/>
    <w:rsid w:val="07722969"/>
    <w:rsid w:val="078158EA"/>
    <w:rsid w:val="07843668"/>
    <w:rsid w:val="07847AEC"/>
    <w:rsid w:val="079368A6"/>
    <w:rsid w:val="07965C3F"/>
    <w:rsid w:val="079C5E01"/>
    <w:rsid w:val="07A575C7"/>
    <w:rsid w:val="07AA6390"/>
    <w:rsid w:val="07B47F2F"/>
    <w:rsid w:val="07BE2890"/>
    <w:rsid w:val="07C4242C"/>
    <w:rsid w:val="07C84D70"/>
    <w:rsid w:val="07CF1963"/>
    <w:rsid w:val="07DE77CB"/>
    <w:rsid w:val="07E121C2"/>
    <w:rsid w:val="07E47A29"/>
    <w:rsid w:val="07E538C3"/>
    <w:rsid w:val="07E62C3B"/>
    <w:rsid w:val="07EC790A"/>
    <w:rsid w:val="07F50292"/>
    <w:rsid w:val="07FE63E8"/>
    <w:rsid w:val="080264AE"/>
    <w:rsid w:val="080661E3"/>
    <w:rsid w:val="083D222A"/>
    <w:rsid w:val="083E7D1C"/>
    <w:rsid w:val="083F69AD"/>
    <w:rsid w:val="084B7ABB"/>
    <w:rsid w:val="08555405"/>
    <w:rsid w:val="08561FA2"/>
    <w:rsid w:val="08590F51"/>
    <w:rsid w:val="085C37E5"/>
    <w:rsid w:val="086334CF"/>
    <w:rsid w:val="08690BF0"/>
    <w:rsid w:val="0871466A"/>
    <w:rsid w:val="08750018"/>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34FC"/>
    <w:rsid w:val="08FC7AC7"/>
    <w:rsid w:val="08FE5C78"/>
    <w:rsid w:val="09021076"/>
    <w:rsid w:val="09065647"/>
    <w:rsid w:val="090968DC"/>
    <w:rsid w:val="0915066C"/>
    <w:rsid w:val="091959C4"/>
    <w:rsid w:val="092464BF"/>
    <w:rsid w:val="09330B6E"/>
    <w:rsid w:val="09392AF8"/>
    <w:rsid w:val="093E5899"/>
    <w:rsid w:val="094311F4"/>
    <w:rsid w:val="094F257F"/>
    <w:rsid w:val="09583843"/>
    <w:rsid w:val="09607DCD"/>
    <w:rsid w:val="096D227C"/>
    <w:rsid w:val="09712D2D"/>
    <w:rsid w:val="0980678C"/>
    <w:rsid w:val="098246C4"/>
    <w:rsid w:val="09A955D3"/>
    <w:rsid w:val="09AF1FDC"/>
    <w:rsid w:val="09B81315"/>
    <w:rsid w:val="09C068A5"/>
    <w:rsid w:val="09C1228B"/>
    <w:rsid w:val="09CA0AC6"/>
    <w:rsid w:val="09D50EC2"/>
    <w:rsid w:val="09F46281"/>
    <w:rsid w:val="09F546E9"/>
    <w:rsid w:val="09F7192D"/>
    <w:rsid w:val="09FD4DBD"/>
    <w:rsid w:val="0A090AAC"/>
    <w:rsid w:val="0A137A02"/>
    <w:rsid w:val="0A204B1C"/>
    <w:rsid w:val="0A243C94"/>
    <w:rsid w:val="0A2E5DB1"/>
    <w:rsid w:val="0A2F46DB"/>
    <w:rsid w:val="0A324A8A"/>
    <w:rsid w:val="0A337541"/>
    <w:rsid w:val="0A386426"/>
    <w:rsid w:val="0A4B0022"/>
    <w:rsid w:val="0A4D1D8A"/>
    <w:rsid w:val="0A4E1BB6"/>
    <w:rsid w:val="0A51312B"/>
    <w:rsid w:val="0A575370"/>
    <w:rsid w:val="0A5B4AEA"/>
    <w:rsid w:val="0A5C2E75"/>
    <w:rsid w:val="0A6277D4"/>
    <w:rsid w:val="0A6614C9"/>
    <w:rsid w:val="0A664AD3"/>
    <w:rsid w:val="0A6775FD"/>
    <w:rsid w:val="0A7232D3"/>
    <w:rsid w:val="0A773A3A"/>
    <w:rsid w:val="0A850E5A"/>
    <w:rsid w:val="0A97216E"/>
    <w:rsid w:val="0A9C11D4"/>
    <w:rsid w:val="0AA5549A"/>
    <w:rsid w:val="0AAE3C34"/>
    <w:rsid w:val="0AB57D41"/>
    <w:rsid w:val="0AB74037"/>
    <w:rsid w:val="0ABA0B10"/>
    <w:rsid w:val="0ABB64D4"/>
    <w:rsid w:val="0ABF5314"/>
    <w:rsid w:val="0AC34F4A"/>
    <w:rsid w:val="0AE003FA"/>
    <w:rsid w:val="0AE3696C"/>
    <w:rsid w:val="0AF957A7"/>
    <w:rsid w:val="0AF96902"/>
    <w:rsid w:val="0AFB4824"/>
    <w:rsid w:val="0B104C80"/>
    <w:rsid w:val="0B1537E9"/>
    <w:rsid w:val="0B1B0258"/>
    <w:rsid w:val="0B1D1E17"/>
    <w:rsid w:val="0B2F5449"/>
    <w:rsid w:val="0B3A6177"/>
    <w:rsid w:val="0B3E1E23"/>
    <w:rsid w:val="0B542366"/>
    <w:rsid w:val="0B565EA1"/>
    <w:rsid w:val="0B566656"/>
    <w:rsid w:val="0B5841D8"/>
    <w:rsid w:val="0B625907"/>
    <w:rsid w:val="0B6D671D"/>
    <w:rsid w:val="0B800594"/>
    <w:rsid w:val="0B833CB9"/>
    <w:rsid w:val="0B8459A2"/>
    <w:rsid w:val="0B9502B4"/>
    <w:rsid w:val="0BA01E5E"/>
    <w:rsid w:val="0BA40793"/>
    <w:rsid w:val="0BB77542"/>
    <w:rsid w:val="0BC1136C"/>
    <w:rsid w:val="0BC87CC9"/>
    <w:rsid w:val="0BCE5465"/>
    <w:rsid w:val="0BD9718B"/>
    <w:rsid w:val="0BE64BE6"/>
    <w:rsid w:val="0BEA1A76"/>
    <w:rsid w:val="0BEB698D"/>
    <w:rsid w:val="0BF23B14"/>
    <w:rsid w:val="0BF4523A"/>
    <w:rsid w:val="0BFD3E01"/>
    <w:rsid w:val="0C022CD6"/>
    <w:rsid w:val="0C0F2FEF"/>
    <w:rsid w:val="0C115C01"/>
    <w:rsid w:val="0C196207"/>
    <w:rsid w:val="0C20192A"/>
    <w:rsid w:val="0C21687B"/>
    <w:rsid w:val="0C221921"/>
    <w:rsid w:val="0C2B7B6C"/>
    <w:rsid w:val="0C2C3B9B"/>
    <w:rsid w:val="0C2E310B"/>
    <w:rsid w:val="0C35257F"/>
    <w:rsid w:val="0C3E5A3E"/>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0B70C6"/>
    <w:rsid w:val="0D1F6EAF"/>
    <w:rsid w:val="0D2C3BFA"/>
    <w:rsid w:val="0D3B246C"/>
    <w:rsid w:val="0D3C52DB"/>
    <w:rsid w:val="0D4618D1"/>
    <w:rsid w:val="0D470E01"/>
    <w:rsid w:val="0D5412D9"/>
    <w:rsid w:val="0D5639E7"/>
    <w:rsid w:val="0D563E1D"/>
    <w:rsid w:val="0D586FDE"/>
    <w:rsid w:val="0D5D28E6"/>
    <w:rsid w:val="0D5D3E94"/>
    <w:rsid w:val="0D651FC1"/>
    <w:rsid w:val="0D6D666D"/>
    <w:rsid w:val="0D6E7297"/>
    <w:rsid w:val="0D7545AF"/>
    <w:rsid w:val="0D781F4A"/>
    <w:rsid w:val="0D784EF3"/>
    <w:rsid w:val="0D823563"/>
    <w:rsid w:val="0D8C2318"/>
    <w:rsid w:val="0D916371"/>
    <w:rsid w:val="0D9F62EE"/>
    <w:rsid w:val="0DA858B9"/>
    <w:rsid w:val="0DB83232"/>
    <w:rsid w:val="0DBB3B85"/>
    <w:rsid w:val="0DBC5333"/>
    <w:rsid w:val="0DBE49F8"/>
    <w:rsid w:val="0DBF18EC"/>
    <w:rsid w:val="0DC96810"/>
    <w:rsid w:val="0DCC121C"/>
    <w:rsid w:val="0DCF5D35"/>
    <w:rsid w:val="0DD11D57"/>
    <w:rsid w:val="0DE7427C"/>
    <w:rsid w:val="0DED07C4"/>
    <w:rsid w:val="0DEE33D9"/>
    <w:rsid w:val="0DF1033C"/>
    <w:rsid w:val="0DFE5905"/>
    <w:rsid w:val="0E022856"/>
    <w:rsid w:val="0E0248BD"/>
    <w:rsid w:val="0E0B52D7"/>
    <w:rsid w:val="0E104D98"/>
    <w:rsid w:val="0E1369CD"/>
    <w:rsid w:val="0E28192B"/>
    <w:rsid w:val="0E2F597F"/>
    <w:rsid w:val="0E37108C"/>
    <w:rsid w:val="0E3B3740"/>
    <w:rsid w:val="0E3D68E7"/>
    <w:rsid w:val="0E4271B8"/>
    <w:rsid w:val="0E4D26CC"/>
    <w:rsid w:val="0E560EFD"/>
    <w:rsid w:val="0E6A01E6"/>
    <w:rsid w:val="0E8C09CF"/>
    <w:rsid w:val="0E8D03D6"/>
    <w:rsid w:val="0E8D7C6B"/>
    <w:rsid w:val="0E930DC4"/>
    <w:rsid w:val="0EA31939"/>
    <w:rsid w:val="0EA41BE0"/>
    <w:rsid w:val="0EAD2320"/>
    <w:rsid w:val="0EB12EAE"/>
    <w:rsid w:val="0EC509E4"/>
    <w:rsid w:val="0ECC22F2"/>
    <w:rsid w:val="0ED4677A"/>
    <w:rsid w:val="0ED64E1A"/>
    <w:rsid w:val="0EDC06F9"/>
    <w:rsid w:val="0EE1071D"/>
    <w:rsid w:val="0EE46AFC"/>
    <w:rsid w:val="0EF05D44"/>
    <w:rsid w:val="0EFD4C6D"/>
    <w:rsid w:val="0EFD6649"/>
    <w:rsid w:val="0EFF4DCA"/>
    <w:rsid w:val="0F024FD6"/>
    <w:rsid w:val="0F0869CE"/>
    <w:rsid w:val="0F0F0B31"/>
    <w:rsid w:val="0F0F0B4C"/>
    <w:rsid w:val="0F0F6DBD"/>
    <w:rsid w:val="0F1028FC"/>
    <w:rsid w:val="0F13714E"/>
    <w:rsid w:val="0F1B123C"/>
    <w:rsid w:val="0F1E1997"/>
    <w:rsid w:val="0F217358"/>
    <w:rsid w:val="0F2532AC"/>
    <w:rsid w:val="0F29705A"/>
    <w:rsid w:val="0F2D7AB0"/>
    <w:rsid w:val="0F3D7225"/>
    <w:rsid w:val="0F40726E"/>
    <w:rsid w:val="0F424B0D"/>
    <w:rsid w:val="0F4501A0"/>
    <w:rsid w:val="0F4A1CDE"/>
    <w:rsid w:val="0F4A7E65"/>
    <w:rsid w:val="0F557405"/>
    <w:rsid w:val="0F5626C1"/>
    <w:rsid w:val="0F63349B"/>
    <w:rsid w:val="0F634273"/>
    <w:rsid w:val="0F657649"/>
    <w:rsid w:val="0F6D575B"/>
    <w:rsid w:val="0F790B07"/>
    <w:rsid w:val="0F7F7301"/>
    <w:rsid w:val="0F806E95"/>
    <w:rsid w:val="0F847A92"/>
    <w:rsid w:val="0F99304D"/>
    <w:rsid w:val="0F9D3AE8"/>
    <w:rsid w:val="0FA351C5"/>
    <w:rsid w:val="0FAF376D"/>
    <w:rsid w:val="0FB52E3F"/>
    <w:rsid w:val="0FBF7F6A"/>
    <w:rsid w:val="0FCC249F"/>
    <w:rsid w:val="0FD8068E"/>
    <w:rsid w:val="0FD97329"/>
    <w:rsid w:val="0FDD3ABD"/>
    <w:rsid w:val="0FDD41C9"/>
    <w:rsid w:val="0FDE34CC"/>
    <w:rsid w:val="0FDF1003"/>
    <w:rsid w:val="0FF23DC6"/>
    <w:rsid w:val="0FFC2B88"/>
    <w:rsid w:val="0FFD42FF"/>
    <w:rsid w:val="101207DA"/>
    <w:rsid w:val="10144ACE"/>
    <w:rsid w:val="1019048E"/>
    <w:rsid w:val="10192E34"/>
    <w:rsid w:val="10220ACB"/>
    <w:rsid w:val="102F5819"/>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86329"/>
    <w:rsid w:val="10993A5B"/>
    <w:rsid w:val="109A2B86"/>
    <w:rsid w:val="109C7E53"/>
    <w:rsid w:val="109D01C9"/>
    <w:rsid w:val="109E5C77"/>
    <w:rsid w:val="10A15BAF"/>
    <w:rsid w:val="10A54549"/>
    <w:rsid w:val="10AD1F54"/>
    <w:rsid w:val="10B20497"/>
    <w:rsid w:val="10B2230B"/>
    <w:rsid w:val="10BA6965"/>
    <w:rsid w:val="10C91FA9"/>
    <w:rsid w:val="10D80BBB"/>
    <w:rsid w:val="10DC7FF8"/>
    <w:rsid w:val="10F55A3F"/>
    <w:rsid w:val="110651DD"/>
    <w:rsid w:val="110A40E9"/>
    <w:rsid w:val="11186F4B"/>
    <w:rsid w:val="11276D5B"/>
    <w:rsid w:val="112A395D"/>
    <w:rsid w:val="112C68E5"/>
    <w:rsid w:val="113112D9"/>
    <w:rsid w:val="11407272"/>
    <w:rsid w:val="114E07E1"/>
    <w:rsid w:val="115246AD"/>
    <w:rsid w:val="11530C0C"/>
    <w:rsid w:val="115A6F27"/>
    <w:rsid w:val="1168209E"/>
    <w:rsid w:val="116C5EAE"/>
    <w:rsid w:val="116F5D3F"/>
    <w:rsid w:val="117E1607"/>
    <w:rsid w:val="117E24E8"/>
    <w:rsid w:val="1186675B"/>
    <w:rsid w:val="118D68C4"/>
    <w:rsid w:val="11941E54"/>
    <w:rsid w:val="11953B1A"/>
    <w:rsid w:val="11965A2F"/>
    <w:rsid w:val="11993508"/>
    <w:rsid w:val="11A52536"/>
    <w:rsid w:val="11B30D67"/>
    <w:rsid w:val="11CF6BAC"/>
    <w:rsid w:val="11DB1A57"/>
    <w:rsid w:val="11E65BE0"/>
    <w:rsid w:val="11F33AF7"/>
    <w:rsid w:val="120209EA"/>
    <w:rsid w:val="1208044F"/>
    <w:rsid w:val="120838DF"/>
    <w:rsid w:val="121264F9"/>
    <w:rsid w:val="12164442"/>
    <w:rsid w:val="121C61A9"/>
    <w:rsid w:val="121E625C"/>
    <w:rsid w:val="12205607"/>
    <w:rsid w:val="12214918"/>
    <w:rsid w:val="122350B5"/>
    <w:rsid w:val="12376C75"/>
    <w:rsid w:val="124C005C"/>
    <w:rsid w:val="124F0BED"/>
    <w:rsid w:val="125A2D78"/>
    <w:rsid w:val="125F75C5"/>
    <w:rsid w:val="12652ED4"/>
    <w:rsid w:val="127C42A0"/>
    <w:rsid w:val="127F297D"/>
    <w:rsid w:val="1281311E"/>
    <w:rsid w:val="129137BD"/>
    <w:rsid w:val="129E5216"/>
    <w:rsid w:val="12AB4AA1"/>
    <w:rsid w:val="12C22B12"/>
    <w:rsid w:val="12D86D99"/>
    <w:rsid w:val="12EC625A"/>
    <w:rsid w:val="12EF1DC3"/>
    <w:rsid w:val="12EF741A"/>
    <w:rsid w:val="12F254D0"/>
    <w:rsid w:val="12F3239A"/>
    <w:rsid w:val="12FB3D15"/>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97FDE"/>
    <w:rsid w:val="139D0995"/>
    <w:rsid w:val="13AE3872"/>
    <w:rsid w:val="13B567C3"/>
    <w:rsid w:val="13BB7F7B"/>
    <w:rsid w:val="13C82EA6"/>
    <w:rsid w:val="13D94098"/>
    <w:rsid w:val="13DD35D9"/>
    <w:rsid w:val="13ED1CD8"/>
    <w:rsid w:val="13F54FCF"/>
    <w:rsid w:val="13F86C6F"/>
    <w:rsid w:val="13FF2E83"/>
    <w:rsid w:val="14005403"/>
    <w:rsid w:val="140300D1"/>
    <w:rsid w:val="14180497"/>
    <w:rsid w:val="141C1A37"/>
    <w:rsid w:val="141C2EE7"/>
    <w:rsid w:val="142255E8"/>
    <w:rsid w:val="142B7721"/>
    <w:rsid w:val="142C38AD"/>
    <w:rsid w:val="14363D29"/>
    <w:rsid w:val="143678DB"/>
    <w:rsid w:val="14506187"/>
    <w:rsid w:val="145449A3"/>
    <w:rsid w:val="145C52F8"/>
    <w:rsid w:val="1474522A"/>
    <w:rsid w:val="14855B1C"/>
    <w:rsid w:val="148F7411"/>
    <w:rsid w:val="14A45533"/>
    <w:rsid w:val="14AD5F48"/>
    <w:rsid w:val="14AE35FC"/>
    <w:rsid w:val="14B74D7E"/>
    <w:rsid w:val="14B90961"/>
    <w:rsid w:val="14C1100B"/>
    <w:rsid w:val="14D601A3"/>
    <w:rsid w:val="14E35136"/>
    <w:rsid w:val="14E44113"/>
    <w:rsid w:val="14EA55B7"/>
    <w:rsid w:val="150E4907"/>
    <w:rsid w:val="151F751C"/>
    <w:rsid w:val="1523274F"/>
    <w:rsid w:val="153D235D"/>
    <w:rsid w:val="153D4BC9"/>
    <w:rsid w:val="154821B7"/>
    <w:rsid w:val="154A1648"/>
    <w:rsid w:val="154E25E9"/>
    <w:rsid w:val="155810A4"/>
    <w:rsid w:val="155C65AE"/>
    <w:rsid w:val="156670AB"/>
    <w:rsid w:val="15694850"/>
    <w:rsid w:val="156A61CE"/>
    <w:rsid w:val="156B3378"/>
    <w:rsid w:val="156F3E1F"/>
    <w:rsid w:val="156F44D4"/>
    <w:rsid w:val="15715B51"/>
    <w:rsid w:val="1574744F"/>
    <w:rsid w:val="15823994"/>
    <w:rsid w:val="159260CF"/>
    <w:rsid w:val="15947046"/>
    <w:rsid w:val="15951987"/>
    <w:rsid w:val="15A0619E"/>
    <w:rsid w:val="15B72752"/>
    <w:rsid w:val="15B80E69"/>
    <w:rsid w:val="15BA166F"/>
    <w:rsid w:val="15BD418E"/>
    <w:rsid w:val="15C72685"/>
    <w:rsid w:val="15C828CD"/>
    <w:rsid w:val="15CB3F81"/>
    <w:rsid w:val="15EB2AA9"/>
    <w:rsid w:val="15F4371E"/>
    <w:rsid w:val="15F85AA9"/>
    <w:rsid w:val="15FD7743"/>
    <w:rsid w:val="160F2C35"/>
    <w:rsid w:val="161C2166"/>
    <w:rsid w:val="16203964"/>
    <w:rsid w:val="162810CA"/>
    <w:rsid w:val="16314D23"/>
    <w:rsid w:val="16421999"/>
    <w:rsid w:val="164F3FB1"/>
    <w:rsid w:val="16542691"/>
    <w:rsid w:val="16545026"/>
    <w:rsid w:val="165663D1"/>
    <w:rsid w:val="16585FCB"/>
    <w:rsid w:val="16620331"/>
    <w:rsid w:val="16657E45"/>
    <w:rsid w:val="166B5FF5"/>
    <w:rsid w:val="16704C85"/>
    <w:rsid w:val="16744071"/>
    <w:rsid w:val="167C5BDC"/>
    <w:rsid w:val="1680645E"/>
    <w:rsid w:val="168821FC"/>
    <w:rsid w:val="168F585F"/>
    <w:rsid w:val="169612D1"/>
    <w:rsid w:val="16A137C5"/>
    <w:rsid w:val="16A21F5B"/>
    <w:rsid w:val="16BE1D19"/>
    <w:rsid w:val="16C00555"/>
    <w:rsid w:val="16C448E6"/>
    <w:rsid w:val="16CA1D2B"/>
    <w:rsid w:val="16DD0C31"/>
    <w:rsid w:val="16DF2B07"/>
    <w:rsid w:val="16E7282C"/>
    <w:rsid w:val="16F759AB"/>
    <w:rsid w:val="16FE3110"/>
    <w:rsid w:val="17026F10"/>
    <w:rsid w:val="170A3FAB"/>
    <w:rsid w:val="17275E00"/>
    <w:rsid w:val="173426EA"/>
    <w:rsid w:val="17380DC9"/>
    <w:rsid w:val="173E4C52"/>
    <w:rsid w:val="17432E41"/>
    <w:rsid w:val="17466E50"/>
    <w:rsid w:val="17482606"/>
    <w:rsid w:val="174B3A7D"/>
    <w:rsid w:val="175454DC"/>
    <w:rsid w:val="17636FAF"/>
    <w:rsid w:val="17702879"/>
    <w:rsid w:val="177761B3"/>
    <w:rsid w:val="178424FA"/>
    <w:rsid w:val="178D2C84"/>
    <w:rsid w:val="178D7F71"/>
    <w:rsid w:val="17930349"/>
    <w:rsid w:val="179E7495"/>
    <w:rsid w:val="17A026E1"/>
    <w:rsid w:val="17A21E1C"/>
    <w:rsid w:val="17AB2B97"/>
    <w:rsid w:val="17B851B2"/>
    <w:rsid w:val="17C30C5A"/>
    <w:rsid w:val="17C66C3A"/>
    <w:rsid w:val="17CC5ECE"/>
    <w:rsid w:val="17CE580D"/>
    <w:rsid w:val="17D83819"/>
    <w:rsid w:val="17DA3CCB"/>
    <w:rsid w:val="17F60521"/>
    <w:rsid w:val="17FC2C33"/>
    <w:rsid w:val="17FF4999"/>
    <w:rsid w:val="1800134D"/>
    <w:rsid w:val="18012955"/>
    <w:rsid w:val="180C023B"/>
    <w:rsid w:val="18170776"/>
    <w:rsid w:val="18226EE6"/>
    <w:rsid w:val="182B4F94"/>
    <w:rsid w:val="18366840"/>
    <w:rsid w:val="18372538"/>
    <w:rsid w:val="18392137"/>
    <w:rsid w:val="18455B6A"/>
    <w:rsid w:val="18474F16"/>
    <w:rsid w:val="18500692"/>
    <w:rsid w:val="18535C42"/>
    <w:rsid w:val="18640C92"/>
    <w:rsid w:val="18641C3D"/>
    <w:rsid w:val="1867487B"/>
    <w:rsid w:val="18695C89"/>
    <w:rsid w:val="18700C08"/>
    <w:rsid w:val="18710E28"/>
    <w:rsid w:val="18764199"/>
    <w:rsid w:val="18786E06"/>
    <w:rsid w:val="1885335D"/>
    <w:rsid w:val="18870497"/>
    <w:rsid w:val="188726D4"/>
    <w:rsid w:val="188F68D6"/>
    <w:rsid w:val="18906FE3"/>
    <w:rsid w:val="189B7E34"/>
    <w:rsid w:val="189C51CA"/>
    <w:rsid w:val="189C5A97"/>
    <w:rsid w:val="18A459CA"/>
    <w:rsid w:val="18A66233"/>
    <w:rsid w:val="18B22B5C"/>
    <w:rsid w:val="18B32649"/>
    <w:rsid w:val="18B84CB0"/>
    <w:rsid w:val="18C605BC"/>
    <w:rsid w:val="18D824B5"/>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5649F4"/>
    <w:rsid w:val="19684F1E"/>
    <w:rsid w:val="199F09F3"/>
    <w:rsid w:val="19B00ED9"/>
    <w:rsid w:val="19B56E5D"/>
    <w:rsid w:val="19B93C2B"/>
    <w:rsid w:val="19BD310F"/>
    <w:rsid w:val="19BF3F9E"/>
    <w:rsid w:val="19C97BA9"/>
    <w:rsid w:val="19CB397F"/>
    <w:rsid w:val="19CC53F0"/>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8B6ED6"/>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15582"/>
    <w:rsid w:val="1AF21DA7"/>
    <w:rsid w:val="1AFD5642"/>
    <w:rsid w:val="1B047D82"/>
    <w:rsid w:val="1B097FBA"/>
    <w:rsid w:val="1B2542E6"/>
    <w:rsid w:val="1B2929AB"/>
    <w:rsid w:val="1B2C3E91"/>
    <w:rsid w:val="1B47772F"/>
    <w:rsid w:val="1B50538E"/>
    <w:rsid w:val="1B5322E9"/>
    <w:rsid w:val="1B607248"/>
    <w:rsid w:val="1B612AFA"/>
    <w:rsid w:val="1B635F12"/>
    <w:rsid w:val="1B693EA3"/>
    <w:rsid w:val="1B6B1131"/>
    <w:rsid w:val="1B6C25E8"/>
    <w:rsid w:val="1B741476"/>
    <w:rsid w:val="1B793426"/>
    <w:rsid w:val="1B801536"/>
    <w:rsid w:val="1B8260BC"/>
    <w:rsid w:val="1B8A2061"/>
    <w:rsid w:val="1B8C3320"/>
    <w:rsid w:val="1B957FCF"/>
    <w:rsid w:val="1BAA2BCF"/>
    <w:rsid w:val="1BD90066"/>
    <w:rsid w:val="1BD925D2"/>
    <w:rsid w:val="1BE962C2"/>
    <w:rsid w:val="1BFA0C60"/>
    <w:rsid w:val="1C076C7C"/>
    <w:rsid w:val="1C161A83"/>
    <w:rsid w:val="1C1C4D13"/>
    <w:rsid w:val="1C296C3D"/>
    <w:rsid w:val="1C325787"/>
    <w:rsid w:val="1C3A709B"/>
    <w:rsid w:val="1C3D1800"/>
    <w:rsid w:val="1C512779"/>
    <w:rsid w:val="1C5B2253"/>
    <w:rsid w:val="1C6575F7"/>
    <w:rsid w:val="1C712D2E"/>
    <w:rsid w:val="1C762823"/>
    <w:rsid w:val="1C7802BE"/>
    <w:rsid w:val="1C7F7184"/>
    <w:rsid w:val="1C804FFC"/>
    <w:rsid w:val="1C811EBE"/>
    <w:rsid w:val="1C8D3996"/>
    <w:rsid w:val="1C9C1BE4"/>
    <w:rsid w:val="1CA0266C"/>
    <w:rsid w:val="1CA36569"/>
    <w:rsid w:val="1CAA66FD"/>
    <w:rsid w:val="1CAD3858"/>
    <w:rsid w:val="1CAF18A4"/>
    <w:rsid w:val="1CBA342B"/>
    <w:rsid w:val="1CC04946"/>
    <w:rsid w:val="1CC400CD"/>
    <w:rsid w:val="1CC57789"/>
    <w:rsid w:val="1CCA7433"/>
    <w:rsid w:val="1CCE5780"/>
    <w:rsid w:val="1CCE78A2"/>
    <w:rsid w:val="1CD75D57"/>
    <w:rsid w:val="1CDC087A"/>
    <w:rsid w:val="1CE72540"/>
    <w:rsid w:val="1CE922E4"/>
    <w:rsid w:val="1CFB474C"/>
    <w:rsid w:val="1D052D81"/>
    <w:rsid w:val="1D110690"/>
    <w:rsid w:val="1D111ED4"/>
    <w:rsid w:val="1D1E5C67"/>
    <w:rsid w:val="1D2C43C8"/>
    <w:rsid w:val="1D317EAF"/>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BE49AC"/>
    <w:rsid w:val="1DC43BC4"/>
    <w:rsid w:val="1DCC34E5"/>
    <w:rsid w:val="1DCF2EDB"/>
    <w:rsid w:val="1DD41CD7"/>
    <w:rsid w:val="1DDC1709"/>
    <w:rsid w:val="1DDE47B5"/>
    <w:rsid w:val="1DE56A6A"/>
    <w:rsid w:val="1DE925CC"/>
    <w:rsid w:val="1DF61D54"/>
    <w:rsid w:val="1DFD1A78"/>
    <w:rsid w:val="1DFD5D66"/>
    <w:rsid w:val="1E0020BC"/>
    <w:rsid w:val="1E081852"/>
    <w:rsid w:val="1E0F6C5F"/>
    <w:rsid w:val="1E1C0F23"/>
    <w:rsid w:val="1E1D3350"/>
    <w:rsid w:val="1E2D3856"/>
    <w:rsid w:val="1E2E6394"/>
    <w:rsid w:val="1E3551D8"/>
    <w:rsid w:val="1E3C2C1F"/>
    <w:rsid w:val="1E493A73"/>
    <w:rsid w:val="1E4C7C99"/>
    <w:rsid w:val="1E6B2852"/>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11BFE"/>
    <w:rsid w:val="1F1E5DB2"/>
    <w:rsid w:val="1F293665"/>
    <w:rsid w:val="1F2D7AB7"/>
    <w:rsid w:val="1F31093A"/>
    <w:rsid w:val="1F3C203A"/>
    <w:rsid w:val="1F4154A3"/>
    <w:rsid w:val="1F495793"/>
    <w:rsid w:val="1F4F31D2"/>
    <w:rsid w:val="1F634DD9"/>
    <w:rsid w:val="1F794D1A"/>
    <w:rsid w:val="1F8B4035"/>
    <w:rsid w:val="1F8E5C30"/>
    <w:rsid w:val="1F8F3B44"/>
    <w:rsid w:val="1FA042BC"/>
    <w:rsid w:val="1FAD75BF"/>
    <w:rsid w:val="1FB468E3"/>
    <w:rsid w:val="1FB87C4A"/>
    <w:rsid w:val="1FDE1119"/>
    <w:rsid w:val="1FDE5CF0"/>
    <w:rsid w:val="1FE72BC6"/>
    <w:rsid w:val="1FF63782"/>
    <w:rsid w:val="20055D8E"/>
    <w:rsid w:val="2010595F"/>
    <w:rsid w:val="202D186D"/>
    <w:rsid w:val="20444A13"/>
    <w:rsid w:val="204A3E68"/>
    <w:rsid w:val="204E2B4B"/>
    <w:rsid w:val="204F627F"/>
    <w:rsid w:val="20577738"/>
    <w:rsid w:val="205B6F25"/>
    <w:rsid w:val="205E6316"/>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547AB"/>
    <w:rsid w:val="211E5843"/>
    <w:rsid w:val="212028A2"/>
    <w:rsid w:val="21236E7B"/>
    <w:rsid w:val="212D6E70"/>
    <w:rsid w:val="21325170"/>
    <w:rsid w:val="21383079"/>
    <w:rsid w:val="213C4E2F"/>
    <w:rsid w:val="213D0E8C"/>
    <w:rsid w:val="2140662B"/>
    <w:rsid w:val="2146277C"/>
    <w:rsid w:val="214B63F8"/>
    <w:rsid w:val="214C3CD5"/>
    <w:rsid w:val="215779C0"/>
    <w:rsid w:val="215A2AFE"/>
    <w:rsid w:val="215F458F"/>
    <w:rsid w:val="21711085"/>
    <w:rsid w:val="217228C9"/>
    <w:rsid w:val="218E0201"/>
    <w:rsid w:val="21926F6C"/>
    <w:rsid w:val="21936236"/>
    <w:rsid w:val="219B0652"/>
    <w:rsid w:val="219E589F"/>
    <w:rsid w:val="21A71340"/>
    <w:rsid w:val="21AE7BDE"/>
    <w:rsid w:val="21B13AA1"/>
    <w:rsid w:val="21B24080"/>
    <w:rsid w:val="21B739BF"/>
    <w:rsid w:val="21BF67E6"/>
    <w:rsid w:val="21C051BE"/>
    <w:rsid w:val="21C268DE"/>
    <w:rsid w:val="21C44697"/>
    <w:rsid w:val="21D061B3"/>
    <w:rsid w:val="21D24CF4"/>
    <w:rsid w:val="21DE47CF"/>
    <w:rsid w:val="21FA7C76"/>
    <w:rsid w:val="21FB378E"/>
    <w:rsid w:val="22086DD5"/>
    <w:rsid w:val="220B654F"/>
    <w:rsid w:val="220D602F"/>
    <w:rsid w:val="221122B7"/>
    <w:rsid w:val="221335D5"/>
    <w:rsid w:val="221803B8"/>
    <w:rsid w:val="223332AD"/>
    <w:rsid w:val="223F2906"/>
    <w:rsid w:val="22460F19"/>
    <w:rsid w:val="224F0CCB"/>
    <w:rsid w:val="226B58C3"/>
    <w:rsid w:val="226F2366"/>
    <w:rsid w:val="226F6FBE"/>
    <w:rsid w:val="227167CA"/>
    <w:rsid w:val="22727FD0"/>
    <w:rsid w:val="227B0B71"/>
    <w:rsid w:val="22805B8B"/>
    <w:rsid w:val="228135D1"/>
    <w:rsid w:val="2281465F"/>
    <w:rsid w:val="22886786"/>
    <w:rsid w:val="22941C5F"/>
    <w:rsid w:val="22A13519"/>
    <w:rsid w:val="22B23E9D"/>
    <w:rsid w:val="22C02AB0"/>
    <w:rsid w:val="22C54E5E"/>
    <w:rsid w:val="22C672D7"/>
    <w:rsid w:val="22C84261"/>
    <w:rsid w:val="22CA6D56"/>
    <w:rsid w:val="22CD373A"/>
    <w:rsid w:val="22CD57C2"/>
    <w:rsid w:val="22CE6C8E"/>
    <w:rsid w:val="22D12D01"/>
    <w:rsid w:val="22D45893"/>
    <w:rsid w:val="22EE45DF"/>
    <w:rsid w:val="22F27762"/>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93C6E"/>
    <w:rsid w:val="236E3562"/>
    <w:rsid w:val="23722CB0"/>
    <w:rsid w:val="237233EF"/>
    <w:rsid w:val="238C2CA1"/>
    <w:rsid w:val="238E7B6A"/>
    <w:rsid w:val="238F69CD"/>
    <w:rsid w:val="2397196E"/>
    <w:rsid w:val="239C2C5D"/>
    <w:rsid w:val="23AC7988"/>
    <w:rsid w:val="23B2329F"/>
    <w:rsid w:val="23C13227"/>
    <w:rsid w:val="23C30FC1"/>
    <w:rsid w:val="23CB1297"/>
    <w:rsid w:val="23CD6CFC"/>
    <w:rsid w:val="23CE6D8D"/>
    <w:rsid w:val="23CE7EFA"/>
    <w:rsid w:val="23D876C6"/>
    <w:rsid w:val="23DB66E2"/>
    <w:rsid w:val="23DD1DFA"/>
    <w:rsid w:val="23E65005"/>
    <w:rsid w:val="23EB5CB5"/>
    <w:rsid w:val="23F00831"/>
    <w:rsid w:val="23FF6960"/>
    <w:rsid w:val="24044AAD"/>
    <w:rsid w:val="242176A6"/>
    <w:rsid w:val="24244378"/>
    <w:rsid w:val="2429376D"/>
    <w:rsid w:val="243B73AD"/>
    <w:rsid w:val="24490420"/>
    <w:rsid w:val="244C76D3"/>
    <w:rsid w:val="245437FC"/>
    <w:rsid w:val="24585C21"/>
    <w:rsid w:val="245A673B"/>
    <w:rsid w:val="245D7497"/>
    <w:rsid w:val="24601C34"/>
    <w:rsid w:val="2473264B"/>
    <w:rsid w:val="248136F0"/>
    <w:rsid w:val="24915BAB"/>
    <w:rsid w:val="24992C3F"/>
    <w:rsid w:val="249C557D"/>
    <w:rsid w:val="249E445B"/>
    <w:rsid w:val="249F5284"/>
    <w:rsid w:val="249F57D9"/>
    <w:rsid w:val="24A16ECD"/>
    <w:rsid w:val="24A46A37"/>
    <w:rsid w:val="24A917C3"/>
    <w:rsid w:val="24AD5E47"/>
    <w:rsid w:val="24AF0F0C"/>
    <w:rsid w:val="24CE18C8"/>
    <w:rsid w:val="24DB7584"/>
    <w:rsid w:val="24DC690A"/>
    <w:rsid w:val="24DF68C8"/>
    <w:rsid w:val="24E113F5"/>
    <w:rsid w:val="24E70DDF"/>
    <w:rsid w:val="24FA6FEE"/>
    <w:rsid w:val="24FD0496"/>
    <w:rsid w:val="25005C72"/>
    <w:rsid w:val="25072CB6"/>
    <w:rsid w:val="250F3ABA"/>
    <w:rsid w:val="25150E4A"/>
    <w:rsid w:val="25214F60"/>
    <w:rsid w:val="252F2220"/>
    <w:rsid w:val="254816C3"/>
    <w:rsid w:val="254A0730"/>
    <w:rsid w:val="255F10C9"/>
    <w:rsid w:val="25603261"/>
    <w:rsid w:val="25621AE5"/>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05466"/>
    <w:rsid w:val="25E71F78"/>
    <w:rsid w:val="25EA75FB"/>
    <w:rsid w:val="25EB1A7A"/>
    <w:rsid w:val="25F541CB"/>
    <w:rsid w:val="25FD3EE1"/>
    <w:rsid w:val="26033C65"/>
    <w:rsid w:val="260715B5"/>
    <w:rsid w:val="26081BF8"/>
    <w:rsid w:val="260B6A7A"/>
    <w:rsid w:val="260C58C5"/>
    <w:rsid w:val="26103B59"/>
    <w:rsid w:val="261F28E2"/>
    <w:rsid w:val="26264554"/>
    <w:rsid w:val="263235F5"/>
    <w:rsid w:val="26333A29"/>
    <w:rsid w:val="2634286A"/>
    <w:rsid w:val="26351784"/>
    <w:rsid w:val="26392AAE"/>
    <w:rsid w:val="26421452"/>
    <w:rsid w:val="26427A28"/>
    <w:rsid w:val="26463F9A"/>
    <w:rsid w:val="264A5177"/>
    <w:rsid w:val="26525ABF"/>
    <w:rsid w:val="26574E2B"/>
    <w:rsid w:val="265826A7"/>
    <w:rsid w:val="265D4625"/>
    <w:rsid w:val="266C527A"/>
    <w:rsid w:val="267056BF"/>
    <w:rsid w:val="2682002D"/>
    <w:rsid w:val="268426E2"/>
    <w:rsid w:val="26871BB0"/>
    <w:rsid w:val="2689072D"/>
    <w:rsid w:val="268D61F7"/>
    <w:rsid w:val="26915CA2"/>
    <w:rsid w:val="26953577"/>
    <w:rsid w:val="26BF485A"/>
    <w:rsid w:val="26E32255"/>
    <w:rsid w:val="26EA75CE"/>
    <w:rsid w:val="26EC6E10"/>
    <w:rsid w:val="26EF32CA"/>
    <w:rsid w:val="26F11DDD"/>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AB4995"/>
    <w:rsid w:val="27B60AFD"/>
    <w:rsid w:val="27B914E9"/>
    <w:rsid w:val="27BA5A01"/>
    <w:rsid w:val="27C42D71"/>
    <w:rsid w:val="27C435E3"/>
    <w:rsid w:val="27C6664A"/>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46461"/>
    <w:rsid w:val="28377CB6"/>
    <w:rsid w:val="28420645"/>
    <w:rsid w:val="284566E9"/>
    <w:rsid w:val="284C4A2B"/>
    <w:rsid w:val="285577BE"/>
    <w:rsid w:val="285C5977"/>
    <w:rsid w:val="28722B16"/>
    <w:rsid w:val="287954D2"/>
    <w:rsid w:val="287E15AA"/>
    <w:rsid w:val="288D4F6F"/>
    <w:rsid w:val="289C0555"/>
    <w:rsid w:val="28AD4406"/>
    <w:rsid w:val="28BB2CA0"/>
    <w:rsid w:val="28BC2993"/>
    <w:rsid w:val="28BD3A65"/>
    <w:rsid w:val="28C36B12"/>
    <w:rsid w:val="28C6288E"/>
    <w:rsid w:val="28CB7B04"/>
    <w:rsid w:val="28CC10A4"/>
    <w:rsid w:val="28D34355"/>
    <w:rsid w:val="28D61C74"/>
    <w:rsid w:val="28E2106E"/>
    <w:rsid w:val="28E95483"/>
    <w:rsid w:val="28EB4FE6"/>
    <w:rsid w:val="28EE4F7F"/>
    <w:rsid w:val="28F257BC"/>
    <w:rsid w:val="28F50C58"/>
    <w:rsid w:val="28F62E85"/>
    <w:rsid w:val="28FA532D"/>
    <w:rsid w:val="28FA7BD2"/>
    <w:rsid w:val="290441D9"/>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A8345E"/>
    <w:rsid w:val="29AD4F53"/>
    <w:rsid w:val="29BD1A42"/>
    <w:rsid w:val="29BF490D"/>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B734B"/>
    <w:rsid w:val="2A5E6472"/>
    <w:rsid w:val="2A5F478B"/>
    <w:rsid w:val="2A6162EF"/>
    <w:rsid w:val="2A660CEE"/>
    <w:rsid w:val="2A664904"/>
    <w:rsid w:val="2A6B5774"/>
    <w:rsid w:val="2A6C0C25"/>
    <w:rsid w:val="2A6C7032"/>
    <w:rsid w:val="2A712586"/>
    <w:rsid w:val="2A750383"/>
    <w:rsid w:val="2A7504B4"/>
    <w:rsid w:val="2A750734"/>
    <w:rsid w:val="2A750FDD"/>
    <w:rsid w:val="2A75687F"/>
    <w:rsid w:val="2A772052"/>
    <w:rsid w:val="2A772195"/>
    <w:rsid w:val="2A7752BC"/>
    <w:rsid w:val="2A7A4706"/>
    <w:rsid w:val="2A8347FB"/>
    <w:rsid w:val="2A865A2F"/>
    <w:rsid w:val="2A8948BD"/>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D4450"/>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733E5F"/>
    <w:rsid w:val="2B8A5BE5"/>
    <w:rsid w:val="2B8B12B1"/>
    <w:rsid w:val="2B930EF1"/>
    <w:rsid w:val="2B9454B1"/>
    <w:rsid w:val="2BA25574"/>
    <w:rsid w:val="2BA323A5"/>
    <w:rsid w:val="2BA40613"/>
    <w:rsid w:val="2BA568A1"/>
    <w:rsid w:val="2BA86189"/>
    <w:rsid w:val="2BAE7AC1"/>
    <w:rsid w:val="2BB36041"/>
    <w:rsid w:val="2BB6470A"/>
    <w:rsid w:val="2BBF1E23"/>
    <w:rsid w:val="2BDB5364"/>
    <w:rsid w:val="2BEF171D"/>
    <w:rsid w:val="2BFE1E7E"/>
    <w:rsid w:val="2BFF34F5"/>
    <w:rsid w:val="2C013F39"/>
    <w:rsid w:val="2C0B1078"/>
    <w:rsid w:val="2C1018B8"/>
    <w:rsid w:val="2C232156"/>
    <w:rsid w:val="2C2471E8"/>
    <w:rsid w:val="2C253560"/>
    <w:rsid w:val="2C295909"/>
    <w:rsid w:val="2C334998"/>
    <w:rsid w:val="2C35122A"/>
    <w:rsid w:val="2C364299"/>
    <w:rsid w:val="2C486C9F"/>
    <w:rsid w:val="2C5437C3"/>
    <w:rsid w:val="2C5446E8"/>
    <w:rsid w:val="2C594D81"/>
    <w:rsid w:val="2C5C42D2"/>
    <w:rsid w:val="2C5E7E3E"/>
    <w:rsid w:val="2C620297"/>
    <w:rsid w:val="2C641512"/>
    <w:rsid w:val="2C6E5DD6"/>
    <w:rsid w:val="2C73035A"/>
    <w:rsid w:val="2C7E4A99"/>
    <w:rsid w:val="2C7E5F6C"/>
    <w:rsid w:val="2C831780"/>
    <w:rsid w:val="2C877559"/>
    <w:rsid w:val="2C9121B3"/>
    <w:rsid w:val="2C9C7397"/>
    <w:rsid w:val="2CA02C0D"/>
    <w:rsid w:val="2CA62C22"/>
    <w:rsid w:val="2CB141FE"/>
    <w:rsid w:val="2CB14D25"/>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2E18DB"/>
    <w:rsid w:val="2D381B6C"/>
    <w:rsid w:val="2D3A36E0"/>
    <w:rsid w:val="2D3D59F8"/>
    <w:rsid w:val="2D411DE4"/>
    <w:rsid w:val="2D447CCF"/>
    <w:rsid w:val="2D4C0921"/>
    <w:rsid w:val="2D4D14E6"/>
    <w:rsid w:val="2D4E4D0B"/>
    <w:rsid w:val="2D5145BB"/>
    <w:rsid w:val="2D7322FD"/>
    <w:rsid w:val="2D7406B9"/>
    <w:rsid w:val="2D7E5AB6"/>
    <w:rsid w:val="2D881BC0"/>
    <w:rsid w:val="2D8E2EA1"/>
    <w:rsid w:val="2D8F27DB"/>
    <w:rsid w:val="2D927047"/>
    <w:rsid w:val="2D966719"/>
    <w:rsid w:val="2D97240F"/>
    <w:rsid w:val="2D9C0C2E"/>
    <w:rsid w:val="2D9E7AAD"/>
    <w:rsid w:val="2DA10413"/>
    <w:rsid w:val="2DA34768"/>
    <w:rsid w:val="2DAA2805"/>
    <w:rsid w:val="2DB46007"/>
    <w:rsid w:val="2DC6113C"/>
    <w:rsid w:val="2DC92410"/>
    <w:rsid w:val="2DCB4BB9"/>
    <w:rsid w:val="2DCE7635"/>
    <w:rsid w:val="2DD70417"/>
    <w:rsid w:val="2DDB0F96"/>
    <w:rsid w:val="2DE35418"/>
    <w:rsid w:val="2E035274"/>
    <w:rsid w:val="2E064941"/>
    <w:rsid w:val="2E0D4E92"/>
    <w:rsid w:val="2E101687"/>
    <w:rsid w:val="2E125435"/>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AE500C"/>
    <w:rsid w:val="2EB11C1F"/>
    <w:rsid w:val="2EB86D2A"/>
    <w:rsid w:val="2EC81F77"/>
    <w:rsid w:val="2EDF3CED"/>
    <w:rsid w:val="2EEB2C6B"/>
    <w:rsid w:val="2EF9378F"/>
    <w:rsid w:val="2F102D49"/>
    <w:rsid w:val="2F1544E7"/>
    <w:rsid w:val="2F1A178D"/>
    <w:rsid w:val="2F223112"/>
    <w:rsid w:val="2F2832E3"/>
    <w:rsid w:val="2F2A028B"/>
    <w:rsid w:val="2F2E4CD3"/>
    <w:rsid w:val="2F3502A1"/>
    <w:rsid w:val="2F3C1119"/>
    <w:rsid w:val="2F3F322C"/>
    <w:rsid w:val="2F4361BA"/>
    <w:rsid w:val="2F4773C1"/>
    <w:rsid w:val="2F4D7FE8"/>
    <w:rsid w:val="2F570BF8"/>
    <w:rsid w:val="2F601512"/>
    <w:rsid w:val="2F644678"/>
    <w:rsid w:val="2F645E81"/>
    <w:rsid w:val="2F6A3BE3"/>
    <w:rsid w:val="2F734078"/>
    <w:rsid w:val="2F7D414C"/>
    <w:rsid w:val="2F820752"/>
    <w:rsid w:val="2F8412FC"/>
    <w:rsid w:val="2F843CF0"/>
    <w:rsid w:val="2F8612D3"/>
    <w:rsid w:val="2F875D7B"/>
    <w:rsid w:val="2F8E5104"/>
    <w:rsid w:val="2F9251E4"/>
    <w:rsid w:val="2FA557A7"/>
    <w:rsid w:val="2FBD3859"/>
    <w:rsid w:val="2FC40827"/>
    <w:rsid w:val="2FC52567"/>
    <w:rsid w:val="2FCC6278"/>
    <w:rsid w:val="2FD3373E"/>
    <w:rsid w:val="2FE73242"/>
    <w:rsid w:val="2FEB512F"/>
    <w:rsid w:val="2FF06294"/>
    <w:rsid w:val="2FF13DD5"/>
    <w:rsid w:val="2FF66C8B"/>
    <w:rsid w:val="2FF9135A"/>
    <w:rsid w:val="300F6B5F"/>
    <w:rsid w:val="30121DB6"/>
    <w:rsid w:val="30194267"/>
    <w:rsid w:val="301D0232"/>
    <w:rsid w:val="30257298"/>
    <w:rsid w:val="30265DB3"/>
    <w:rsid w:val="30281E1B"/>
    <w:rsid w:val="303D2A1B"/>
    <w:rsid w:val="303E008C"/>
    <w:rsid w:val="303E2FFE"/>
    <w:rsid w:val="30423C79"/>
    <w:rsid w:val="306205C4"/>
    <w:rsid w:val="30657AE9"/>
    <w:rsid w:val="306772F9"/>
    <w:rsid w:val="306A5BA8"/>
    <w:rsid w:val="307A4007"/>
    <w:rsid w:val="30856D7B"/>
    <w:rsid w:val="308A183B"/>
    <w:rsid w:val="308E5FDF"/>
    <w:rsid w:val="30926D0D"/>
    <w:rsid w:val="309C6DDB"/>
    <w:rsid w:val="309E3F80"/>
    <w:rsid w:val="30A76E60"/>
    <w:rsid w:val="30B31F9C"/>
    <w:rsid w:val="30B456E9"/>
    <w:rsid w:val="30B5287E"/>
    <w:rsid w:val="30BC215E"/>
    <w:rsid w:val="30BE0B68"/>
    <w:rsid w:val="30F25E93"/>
    <w:rsid w:val="30F578C5"/>
    <w:rsid w:val="30F86718"/>
    <w:rsid w:val="31000234"/>
    <w:rsid w:val="31165C0D"/>
    <w:rsid w:val="31182199"/>
    <w:rsid w:val="31302D16"/>
    <w:rsid w:val="31375B9A"/>
    <w:rsid w:val="31392A46"/>
    <w:rsid w:val="313A0546"/>
    <w:rsid w:val="31470314"/>
    <w:rsid w:val="314C2760"/>
    <w:rsid w:val="316244B7"/>
    <w:rsid w:val="316F1595"/>
    <w:rsid w:val="31854918"/>
    <w:rsid w:val="31895B80"/>
    <w:rsid w:val="31946A47"/>
    <w:rsid w:val="31963578"/>
    <w:rsid w:val="31A32722"/>
    <w:rsid w:val="31A91D45"/>
    <w:rsid w:val="31AC7DF1"/>
    <w:rsid w:val="31AE5339"/>
    <w:rsid w:val="31BA0E10"/>
    <w:rsid w:val="31BB2CDB"/>
    <w:rsid w:val="31C44658"/>
    <w:rsid w:val="31CB1EC5"/>
    <w:rsid w:val="31CF2C3A"/>
    <w:rsid w:val="31D063CB"/>
    <w:rsid w:val="31D811C4"/>
    <w:rsid w:val="31D918C1"/>
    <w:rsid w:val="31DF7D59"/>
    <w:rsid w:val="31E352CF"/>
    <w:rsid w:val="31EC57C4"/>
    <w:rsid w:val="320A674B"/>
    <w:rsid w:val="320E75A5"/>
    <w:rsid w:val="32186538"/>
    <w:rsid w:val="3221030E"/>
    <w:rsid w:val="32267A64"/>
    <w:rsid w:val="32301C76"/>
    <w:rsid w:val="3237702B"/>
    <w:rsid w:val="32384218"/>
    <w:rsid w:val="324043DE"/>
    <w:rsid w:val="324178A4"/>
    <w:rsid w:val="32450245"/>
    <w:rsid w:val="32494549"/>
    <w:rsid w:val="32545FC5"/>
    <w:rsid w:val="325C2D76"/>
    <w:rsid w:val="326507A6"/>
    <w:rsid w:val="32657B0E"/>
    <w:rsid w:val="326719A9"/>
    <w:rsid w:val="326F13CB"/>
    <w:rsid w:val="326F5570"/>
    <w:rsid w:val="328B4355"/>
    <w:rsid w:val="32941EA4"/>
    <w:rsid w:val="32A17E90"/>
    <w:rsid w:val="32B366CE"/>
    <w:rsid w:val="32BB3603"/>
    <w:rsid w:val="32BE6424"/>
    <w:rsid w:val="32BF74CC"/>
    <w:rsid w:val="32C246E2"/>
    <w:rsid w:val="32C31C14"/>
    <w:rsid w:val="32C753E9"/>
    <w:rsid w:val="32CD393F"/>
    <w:rsid w:val="32CE76E8"/>
    <w:rsid w:val="32CF3752"/>
    <w:rsid w:val="32DD7534"/>
    <w:rsid w:val="32F64C2C"/>
    <w:rsid w:val="32FD0FA8"/>
    <w:rsid w:val="33022768"/>
    <w:rsid w:val="331401DC"/>
    <w:rsid w:val="3315683C"/>
    <w:rsid w:val="331B6EDE"/>
    <w:rsid w:val="33313D66"/>
    <w:rsid w:val="33352864"/>
    <w:rsid w:val="33385346"/>
    <w:rsid w:val="33397206"/>
    <w:rsid w:val="33451D77"/>
    <w:rsid w:val="33516568"/>
    <w:rsid w:val="33530865"/>
    <w:rsid w:val="335324A7"/>
    <w:rsid w:val="33547F1F"/>
    <w:rsid w:val="337169E0"/>
    <w:rsid w:val="33796778"/>
    <w:rsid w:val="337F01D0"/>
    <w:rsid w:val="338446D8"/>
    <w:rsid w:val="3397431E"/>
    <w:rsid w:val="33986BF1"/>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07514"/>
    <w:rsid w:val="34366609"/>
    <w:rsid w:val="343B5BC5"/>
    <w:rsid w:val="3441049C"/>
    <w:rsid w:val="34470C06"/>
    <w:rsid w:val="345D1DC0"/>
    <w:rsid w:val="345E2E34"/>
    <w:rsid w:val="346856A8"/>
    <w:rsid w:val="346B074E"/>
    <w:rsid w:val="34700B52"/>
    <w:rsid w:val="347C5431"/>
    <w:rsid w:val="347E76AC"/>
    <w:rsid w:val="34802039"/>
    <w:rsid w:val="34952676"/>
    <w:rsid w:val="349537D0"/>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0B33F4"/>
    <w:rsid w:val="35151E73"/>
    <w:rsid w:val="351B5AFA"/>
    <w:rsid w:val="351D7160"/>
    <w:rsid w:val="351E408A"/>
    <w:rsid w:val="35303ACB"/>
    <w:rsid w:val="35436A96"/>
    <w:rsid w:val="3544100D"/>
    <w:rsid w:val="354F75D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191317"/>
    <w:rsid w:val="362929EA"/>
    <w:rsid w:val="36385E77"/>
    <w:rsid w:val="36513994"/>
    <w:rsid w:val="365341EB"/>
    <w:rsid w:val="365428F8"/>
    <w:rsid w:val="365430D0"/>
    <w:rsid w:val="365D088C"/>
    <w:rsid w:val="3663131A"/>
    <w:rsid w:val="366B0451"/>
    <w:rsid w:val="367935A4"/>
    <w:rsid w:val="3683705A"/>
    <w:rsid w:val="369251EB"/>
    <w:rsid w:val="36A20AB9"/>
    <w:rsid w:val="36B51C04"/>
    <w:rsid w:val="36BC1010"/>
    <w:rsid w:val="36C20A33"/>
    <w:rsid w:val="36CD1928"/>
    <w:rsid w:val="36DD19D5"/>
    <w:rsid w:val="36DF0DCF"/>
    <w:rsid w:val="36E71C00"/>
    <w:rsid w:val="36E80F78"/>
    <w:rsid w:val="36E86D31"/>
    <w:rsid w:val="36EE2CBB"/>
    <w:rsid w:val="36F75F3F"/>
    <w:rsid w:val="37206A20"/>
    <w:rsid w:val="372A7F5B"/>
    <w:rsid w:val="372C5FF1"/>
    <w:rsid w:val="372D0DBF"/>
    <w:rsid w:val="372F1B40"/>
    <w:rsid w:val="372F3FF9"/>
    <w:rsid w:val="373129EF"/>
    <w:rsid w:val="373621A3"/>
    <w:rsid w:val="373A3D76"/>
    <w:rsid w:val="374B3050"/>
    <w:rsid w:val="37512B30"/>
    <w:rsid w:val="3754377B"/>
    <w:rsid w:val="3764396F"/>
    <w:rsid w:val="376755B7"/>
    <w:rsid w:val="376D73D3"/>
    <w:rsid w:val="37757E6F"/>
    <w:rsid w:val="377E113A"/>
    <w:rsid w:val="37873DC6"/>
    <w:rsid w:val="378B06CC"/>
    <w:rsid w:val="378C5DE8"/>
    <w:rsid w:val="379A365A"/>
    <w:rsid w:val="37A81832"/>
    <w:rsid w:val="37AD0E97"/>
    <w:rsid w:val="37B3284E"/>
    <w:rsid w:val="37B56FC7"/>
    <w:rsid w:val="37B93020"/>
    <w:rsid w:val="37C75A14"/>
    <w:rsid w:val="37D51DFC"/>
    <w:rsid w:val="37E331C8"/>
    <w:rsid w:val="37FD7147"/>
    <w:rsid w:val="380F45AD"/>
    <w:rsid w:val="38221F5D"/>
    <w:rsid w:val="383579C1"/>
    <w:rsid w:val="38365636"/>
    <w:rsid w:val="3838242E"/>
    <w:rsid w:val="383A26CD"/>
    <w:rsid w:val="3842298F"/>
    <w:rsid w:val="384934A4"/>
    <w:rsid w:val="38562637"/>
    <w:rsid w:val="3858063B"/>
    <w:rsid w:val="385A06DD"/>
    <w:rsid w:val="385D34C1"/>
    <w:rsid w:val="386052AA"/>
    <w:rsid w:val="38630B60"/>
    <w:rsid w:val="386B0ED9"/>
    <w:rsid w:val="387409B9"/>
    <w:rsid w:val="387D29BE"/>
    <w:rsid w:val="38837E13"/>
    <w:rsid w:val="38862BA8"/>
    <w:rsid w:val="388C5F8D"/>
    <w:rsid w:val="38945C70"/>
    <w:rsid w:val="3894625F"/>
    <w:rsid w:val="38A05A0D"/>
    <w:rsid w:val="38A34698"/>
    <w:rsid w:val="38A968C8"/>
    <w:rsid w:val="38AB19DA"/>
    <w:rsid w:val="38B603BB"/>
    <w:rsid w:val="38B96453"/>
    <w:rsid w:val="38C13455"/>
    <w:rsid w:val="38C37207"/>
    <w:rsid w:val="38D25A92"/>
    <w:rsid w:val="38D27E22"/>
    <w:rsid w:val="38F05821"/>
    <w:rsid w:val="38F65986"/>
    <w:rsid w:val="39037914"/>
    <w:rsid w:val="390A3D17"/>
    <w:rsid w:val="39193BBB"/>
    <w:rsid w:val="39197EF7"/>
    <w:rsid w:val="39267A2B"/>
    <w:rsid w:val="393B6A45"/>
    <w:rsid w:val="393C457C"/>
    <w:rsid w:val="393D2C48"/>
    <w:rsid w:val="3957061E"/>
    <w:rsid w:val="396A5805"/>
    <w:rsid w:val="397D09C0"/>
    <w:rsid w:val="39882EE2"/>
    <w:rsid w:val="39884C68"/>
    <w:rsid w:val="399476E9"/>
    <w:rsid w:val="39AA29DA"/>
    <w:rsid w:val="39B50F31"/>
    <w:rsid w:val="39C403EC"/>
    <w:rsid w:val="39C84667"/>
    <w:rsid w:val="39CA73AF"/>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B55A2"/>
    <w:rsid w:val="3B0F1B0C"/>
    <w:rsid w:val="3B115E95"/>
    <w:rsid w:val="3B16341F"/>
    <w:rsid w:val="3B247D05"/>
    <w:rsid w:val="3B2D7969"/>
    <w:rsid w:val="3B3A5239"/>
    <w:rsid w:val="3B472810"/>
    <w:rsid w:val="3B4E2D26"/>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00B1"/>
    <w:rsid w:val="3C2B5922"/>
    <w:rsid w:val="3C302B64"/>
    <w:rsid w:val="3C34695A"/>
    <w:rsid w:val="3C351CCD"/>
    <w:rsid w:val="3C3B72F7"/>
    <w:rsid w:val="3C4D5202"/>
    <w:rsid w:val="3C536F45"/>
    <w:rsid w:val="3C5C73CF"/>
    <w:rsid w:val="3C5D698E"/>
    <w:rsid w:val="3C6A79D5"/>
    <w:rsid w:val="3C7617CA"/>
    <w:rsid w:val="3C7B53C9"/>
    <w:rsid w:val="3C881DE6"/>
    <w:rsid w:val="3C8B668C"/>
    <w:rsid w:val="3C9842F0"/>
    <w:rsid w:val="3C9A3ED3"/>
    <w:rsid w:val="3C9D0189"/>
    <w:rsid w:val="3CA33452"/>
    <w:rsid w:val="3CB41F23"/>
    <w:rsid w:val="3CBB3335"/>
    <w:rsid w:val="3CC21E8B"/>
    <w:rsid w:val="3CC258D5"/>
    <w:rsid w:val="3CD30C12"/>
    <w:rsid w:val="3CDB69FF"/>
    <w:rsid w:val="3CDC1F42"/>
    <w:rsid w:val="3CEA4811"/>
    <w:rsid w:val="3CF11106"/>
    <w:rsid w:val="3CF1460B"/>
    <w:rsid w:val="3CFE7137"/>
    <w:rsid w:val="3CFF5FCC"/>
    <w:rsid w:val="3D113DEE"/>
    <w:rsid w:val="3D171F47"/>
    <w:rsid w:val="3D1A706D"/>
    <w:rsid w:val="3D1E69C8"/>
    <w:rsid w:val="3D216871"/>
    <w:rsid w:val="3D244471"/>
    <w:rsid w:val="3D3B1B30"/>
    <w:rsid w:val="3D4C08A0"/>
    <w:rsid w:val="3D4D4F31"/>
    <w:rsid w:val="3D4D6E20"/>
    <w:rsid w:val="3D5305FD"/>
    <w:rsid w:val="3D5B4F5D"/>
    <w:rsid w:val="3D5F34BD"/>
    <w:rsid w:val="3D6B33E8"/>
    <w:rsid w:val="3D752505"/>
    <w:rsid w:val="3D762AD7"/>
    <w:rsid w:val="3D7A5575"/>
    <w:rsid w:val="3D7D0F46"/>
    <w:rsid w:val="3D8370EF"/>
    <w:rsid w:val="3D87456C"/>
    <w:rsid w:val="3D892448"/>
    <w:rsid w:val="3D916D86"/>
    <w:rsid w:val="3D9210C1"/>
    <w:rsid w:val="3D92386C"/>
    <w:rsid w:val="3D9901D9"/>
    <w:rsid w:val="3D9A6A88"/>
    <w:rsid w:val="3D9C583A"/>
    <w:rsid w:val="3D9E378A"/>
    <w:rsid w:val="3DA1312A"/>
    <w:rsid w:val="3DB66C9C"/>
    <w:rsid w:val="3DB740CD"/>
    <w:rsid w:val="3DC60812"/>
    <w:rsid w:val="3DCA3E59"/>
    <w:rsid w:val="3DCE0312"/>
    <w:rsid w:val="3DCF4766"/>
    <w:rsid w:val="3DD03022"/>
    <w:rsid w:val="3DE5229E"/>
    <w:rsid w:val="3DEB027D"/>
    <w:rsid w:val="3DFA5AD0"/>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6482F"/>
    <w:rsid w:val="3E7726C8"/>
    <w:rsid w:val="3E833861"/>
    <w:rsid w:val="3E880CDE"/>
    <w:rsid w:val="3E9902BD"/>
    <w:rsid w:val="3EAB68CC"/>
    <w:rsid w:val="3EB45BDF"/>
    <w:rsid w:val="3EB80426"/>
    <w:rsid w:val="3EC075F2"/>
    <w:rsid w:val="3EC07E82"/>
    <w:rsid w:val="3EC61005"/>
    <w:rsid w:val="3EC64136"/>
    <w:rsid w:val="3ECC6C03"/>
    <w:rsid w:val="3ED037EE"/>
    <w:rsid w:val="3EDC278B"/>
    <w:rsid w:val="3EE16478"/>
    <w:rsid w:val="3EF0668A"/>
    <w:rsid w:val="3EF2130E"/>
    <w:rsid w:val="3F00564E"/>
    <w:rsid w:val="3F0E4AA7"/>
    <w:rsid w:val="3F166DE5"/>
    <w:rsid w:val="3F1744A9"/>
    <w:rsid w:val="3F193BE6"/>
    <w:rsid w:val="3F1D1FCC"/>
    <w:rsid w:val="3F23345D"/>
    <w:rsid w:val="3F2700BE"/>
    <w:rsid w:val="3F322E39"/>
    <w:rsid w:val="3F3365BB"/>
    <w:rsid w:val="3F3A48AA"/>
    <w:rsid w:val="3F3C59F7"/>
    <w:rsid w:val="3F426AC3"/>
    <w:rsid w:val="3F444F2D"/>
    <w:rsid w:val="3F484CFB"/>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066FE"/>
    <w:rsid w:val="3FD86B47"/>
    <w:rsid w:val="3FE31D82"/>
    <w:rsid w:val="3FEB27F3"/>
    <w:rsid w:val="3FEE7226"/>
    <w:rsid w:val="3FF60A01"/>
    <w:rsid w:val="400C2C3F"/>
    <w:rsid w:val="40104B97"/>
    <w:rsid w:val="40123B43"/>
    <w:rsid w:val="40151C80"/>
    <w:rsid w:val="40163B47"/>
    <w:rsid w:val="401A4816"/>
    <w:rsid w:val="404224B6"/>
    <w:rsid w:val="40432906"/>
    <w:rsid w:val="40433886"/>
    <w:rsid w:val="40516742"/>
    <w:rsid w:val="40573B87"/>
    <w:rsid w:val="405B60B6"/>
    <w:rsid w:val="40633FD6"/>
    <w:rsid w:val="40635F1A"/>
    <w:rsid w:val="406903C7"/>
    <w:rsid w:val="406930A8"/>
    <w:rsid w:val="406F59D7"/>
    <w:rsid w:val="40786C8E"/>
    <w:rsid w:val="40805B94"/>
    <w:rsid w:val="40813DBE"/>
    <w:rsid w:val="40830B74"/>
    <w:rsid w:val="40AA54F1"/>
    <w:rsid w:val="40BA2742"/>
    <w:rsid w:val="40C032DF"/>
    <w:rsid w:val="40CC1C7A"/>
    <w:rsid w:val="40D145D9"/>
    <w:rsid w:val="40DA6699"/>
    <w:rsid w:val="40E81F30"/>
    <w:rsid w:val="40F8335B"/>
    <w:rsid w:val="41021214"/>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51DCF"/>
    <w:rsid w:val="418F3709"/>
    <w:rsid w:val="419E41FD"/>
    <w:rsid w:val="41A6561A"/>
    <w:rsid w:val="41A72A85"/>
    <w:rsid w:val="41AD068C"/>
    <w:rsid w:val="41B37936"/>
    <w:rsid w:val="41BC51E7"/>
    <w:rsid w:val="41BD778A"/>
    <w:rsid w:val="41C1720A"/>
    <w:rsid w:val="41C807B8"/>
    <w:rsid w:val="41D35005"/>
    <w:rsid w:val="41DA7F1B"/>
    <w:rsid w:val="41E310E9"/>
    <w:rsid w:val="41E35AA4"/>
    <w:rsid w:val="41EC244C"/>
    <w:rsid w:val="42115916"/>
    <w:rsid w:val="421965C1"/>
    <w:rsid w:val="4222777A"/>
    <w:rsid w:val="42282E32"/>
    <w:rsid w:val="422C0B6F"/>
    <w:rsid w:val="424576B0"/>
    <w:rsid w:val="424F7E66"/>
    <w:rsid w:val="4279133E"/>
    <w:rsid w:val="427B56B5"/>
    <w:rsid w:val="42850BB4"/>
    <w:rsid w:val="429F4867"/>
    <w:rsid w:val="42A31ABC"/>
    <w:rsid w:val="42B61283"/>
    <w:rsid w:val="42B876D7"/>
    <w:rsid w:val="42C12743"/>
    <w:rsid w:val="42C37F87"/>
    <w:rsid w:val="42C41CFF"/>
    <w:rsid w:val="42DC7FA5"/>
    <w:rsid w:val="42DE73EB"/>
    <w:rsid w:val="42EA5D21"/>
    <w:rsid w:val="42F55E0F"/>
    <w:rsid w:val="42F71C92"/>
    <w:rsid w:val="42F8391A"/>
    <w:rsid w:val="43002024"/>
    <w:rsid w:val="43041422"/>
    <w:rsid w:val="430B71E6"/>
    <w:rsid w:val="430F5CB6"/>
    <w:rsid w:val="4313140F"/>
    <w:rsid w:val="431F3B2A"/>
    <w:rsid w:val="4328234D"/>
    <w:rsid w:val="4328318E"/>
    <w:rsid w:val="43326A7C"/>
    <w:rsid w:val="4337362E"/>
    <w:rsid w:val="43377A41"/>
    <w:rsid w:val="433C0AD9"/>
    <w:rsid w:val="43474516"/>
    <w:rsid w:val="435C2DD4"/>
    <w:rsid w:val="43606EE8"/>
    <w:rsid w:val="436D6C7E"/>
    <w:rsid w:val="43741116"/>
    <w:rsid w:val="43825E8E"/>
    <w:rsid w:val="438C60C3"/>
    <w:rsid w:val="438D3A8B"/>
    <w:rsid w:val="43B67D40"/>
    <w:rsid w:val="43C90ABC"/>
    <w:rsid w:val="43CE29DA"/>
    <w:rsid w:val="43D4753B"/>
    <w:rsid w:val="43D60F59"/>
    <w:rsid w:val="43D6358D"/>
    <w:rsid w:val="43E61AF4"/>
    <w:rsid w:val="43EA6FF8"/>
    <w:rsid w:val="43EC7960"/>
    <w:rsid w:val="43FA1F0F"/>
    <w:rsid w:val="440313A1"/>
    <w:rsid w:val="44083C52"/>
    <w:rsid w:val="440B5E9D"/>
    <w:rsid w:val="44103072"/>
    <w:rsid w:val="44142FAF"/>
    <w:rsid w:val="44154F1C"/>
    <w:rsid w:val="44160887"/>
    <w:rsid w:val="44162DF9"/>
    <w:rsid w:val="441B1DA2"/>
    <w:rsid w:val="441C02A4"/>
    <w:rsid w:val="441D0E5B"/>
    <w:rsid w:val="44227EEF"/>
    <w:rsid w:val="44290F04"/>
    <w:rsid w:val="442F62DC"/>
    <w:rsid w:val="44387B6B"/>
    <w:rsid w:val="44396033"/>
    <w:rsid w:val="443F24A6"/>
    <w:rsid w:val="444168F4"/>
    <w:rsid w:val="4445371E"/>
    <w:rsid w:val="444F4CC5"/>
    <w:rsid w:val="446F063A"/>
    <w:rsid w:val="44723E90"/>
    <w:rsid w:val="447F2079"/>
    <w:rsid w:val="44905E4F"/>
    <w:rsid w:val="449307DD"/>
    <w:rsid w:val="449924D3"/>
    <w:rsid w:val="449C324D"/>
    <w:rsid w:val="44AE2C64"/>
    <w:rsid w:val="44AF364E"/>
    <w:rsid w:val="44B25954"/>
    <w:rsid w:val="44B26059"/>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432FE7"/>
    <w:rsid w:val="454F2985"/>
    <w:rsid w:val="455C4C80"/>
    <w:rsid w:val="455D4229"/>
    <w:rsid w:val="45617F43"/>
    <w:rsid w:val="45675C27"/>
    <w:rsid w:val="4572498F"/>
    <w:rsid w:val="458469DB"/>
    <w:rsid w:val="45863114"/>
    <w:rsid w:val="45871207"/>
    <w:rsid w:val="458A03D0"/>
    <w:rsid w:val="458B2169"/>
    <w:rsid w:val="459D3251"/>
    <w:rsid w:val="45A1725C"/>
    <w:rsid w:val="45A34A00"/>
    <w:rsid w:val="45B33A3B"/>
    <w:rsid w:val="45C20D69"/>
    <w:rsid w:val="45D077D4"/>
    <w:rsid w:val="45D65BEE"/>
    <w:rsid w:val="45DE6754"/>
    <w:rsid w:val="45EF1E60"/>
    <w:rsid w:val="45F65F21"/>
    <w:rsid w:val="45F877F1"/>
    <w:rsid w:val="45FB24C0"/>
    <w:rsid w:val="46043836"/>
    <w:rsid w:val="46163A58"/>
    <w:rsid w:val="4616630D"/>
    <w:rsid w:val="461C30A3"/>
    <w:rsid w:val="461F2208"/>
    <w:rsid w:val="462253D7"/>
    <w:rsid w:val="462312F7"/>
    <w:rsid w:val="463416CE"/>
    <w:rsid w:val="46370D5C"/>
    <w:rsid w:val="4638223A"/>
    <w:rsid w:val="4641025F"/>
    <w:rsid w:val="464B7611"/>
    <w:rsid w:val="46555121"/>
    <w:rsid w:val="46570A5C"/>
    <w:rsid w:val="4660177E"/>
    <w:rsid w:val="466E0F0B"/>
    <w:rsid w:val="4673382E"/>
    <w:rsid w:val="46741DB8"/>
    <w:rsid w:val="4675674D"/>
    <w:rsid w:val="4677581E"/>
    <w:rsid w:val="468248D2"/>
    <w:rsid w:val="46897790"/>
    <w:rsid w:val="468D1FB1"/>
    <w:rsid w:val="468F312C"/>
    <w:rsid w:val="468F6773"/>
    <w:rsid w:val="469A330F"/>
    <w:rsid w:val="469F56A5"/>
    <w:rsid w:val="46AF29BC"/>
    <w:rsid w:val="46BD2696"/>
    <w:rsid w:val="46C86EBD"/>
    <w:rsid w:val="46DA4A29"/>
    <w:rsid w:val="46DE2697"/>
    <w:rsid w:val="46E26B7A"/>
    <w:rsid w:val="46EF6364"/>
    <w:rsid w:val="46F22FE0"/>
    <w:rsid w:val="46F85524"/>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C507F1"/>
    <w:rsid w:val="47D05456"/>
    <w:rsid w:val="47DB202B"/>
    <w:rsid w:val="47E65C2F"/>
    <w:rsid w:val="47EB601C"/>
    <w:rsid w:val="47F664B8"/>
    <w:rsid w:val="47F76470"/>
    <w:rsid w:val="47FC1D1A"/>
    <w:rsid w:val="48052A48"/>
    <w:rsid w:val="48067F05"/>
    <w:rsid w:val="48082259"/>
    <w:rsid w:val="481A5198"/>
    <w:rsid w:val="481A56B0"/>
    <w:rsid w:val="481E5EE9"/>
    <w:rsid w:val="482C7A14"/>
    <w:rsid w:val="4830797B"/>
    <w:rsid w:val="484A5559"/>
    <w:rsid w:val="485974B8"/>
    <w:rsid w:val="485A507F"/>
    <w:rsid w:val="486E3D48"/>
    <w:rsid w:val="48723A44"/>
    <w:rsid w:val="487E02E7"/>
    <w:rsid w:val="48933844"/>
    <w:rsid w:val="48A067FF"/>
    <w:rsid w:val="48A26C6C"/>
    <w:rsid w:val="48A614FD"/>
    <w:rsid w:val="48AA6E8D"/>
    <w:rsid w:val="48B84574"/>
    <w:rsid w:val="48C75723"/>
    <w:rsid w:val="48C835B6"/>
    <w:rsid w:val="48CD6635"/>
    <w:rsid w:val="48D5673E"/>
    <w:rsid w:val="48DE76C4"/>
    <w:rsid w:val="48DF14A3"/>
    <w:rsid w:val="48E16DD8"/>
    <w:rsid w:val="48E31A8E"/>
    <w:rsid w:val="48E5360E"/>
    <w:rsid w:val="48F15DFA"/>
    <w:rsid w:val="48F825CF"/>
    <w:rsid w:val="4900172C"/>
    <w:rsid w:val="491451B5"/>
    <w:rsid w:val="491A53A2"/>
    <w:rsid w:val="492C6E96"/>
    <w:rsid w:val="4935686B"/>
    <w:rsid w:val="493779BE"/>
    <w:rsid w:val="493F499D"/>
    <w:rsid w:val="4940480E"/>
    <w:rsid w:val="494139AE"/>
    <w:rsid w:val="494E7EAB"/>
    <w:rsid w:val="49597EFF"/>
    <w:rsid w:val="49657721"/>
    <w:rsid w:val="49683F5D"/>
    <w:rsid w:val="49825CBE"/>
    <w:rsid w:val="49A06572"/>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AFE2097"/>
    <w:rsid w:val="4B071D1C"/>
    <w:rsid w:val="4B1232DD"/>
    <w:rsid w:val="4B151D54"/>
    <w:rsid w:val="4B1C5BD6"/>
    <w:rsid w:val="4B2030CF"/>
    <w:rsid w:val="4B273CDB"/>
    <w:rsid w:val="4B2A5E61"/>
    <w:rsid w:val="4B2B23B8"/>
    <w:rsid w:val="4B401327"/>
    <w:rsid w:val="4B551754"/>
    <w:rsid w:val="4B5A73D8"/>
    <w:rsid w:val="4B5B2881"/>
    <w:rsid w:val="4B6071FD"/>
    <w:rsid w:val="4B677249"/>
    <w:rsid w:val="4B6842EC"/>
    <w:rsid w:val="4B7707CA"/>
    <w:rsid w:val="4B8B3A50"/>
    <w:rsid w:val="4B90225B"/>
    <w:rsid w:val="4B911420"/>
    <w:rsid w:val="4B914690"/>
    <w:rsid w:val="4B967ECC"/>
    <w:rsid w:val="4B9801F4"/>
    <w:rsid w:val="4BAA574F"/>
    <w:rsid w:val="4BAB1B30"/>
    <w:rsid w:val="4BBE5648"/>
    <w:rsid w:val="4BC872F2"/>
    <w:rsid w:val="4BCD0F91"/>
    <w:rsid w:val="4BD70D0D"/>
    <w:rsid w:val="4BE55BB9"/>
    <w:rsid w:val="4BE75CB2"/>
    <w:rsid w:val="4BEE16DF"/>
    <w:rsid w:val="4BF2074E"/>
    <w:rsid w:val="4C092233"/>
    <w:rsid w:val="4C0F5E43"/>
    <w:rsid w:val="4C23594D"/>
    <w:rsid w:val="4C27590F"/>
    <w:rsid w:val="4C2941CA"/>
    <w:rsid w:val="4C2E7524"/>
    <w:rsid w:val="4C380520"/>
    <w:rsid w:val="4C3979DB"/>
    <w:rsid w:val="4C3D2514"/>
    <w:rsid w:val="4C3E0FF7"/>
    <w:rsid w:val="4C4128E4"/>
    <w:rsid w:val="4C423AC8"/>
    <w:rsid w:val="4C5064CF"/>
    <w:rsid w:val="4C5C145C"/>
    <w:rsid w:val="4C642696"/>
    <w:rsid w:val="4C753405"/>
    <w:rsid w:val="4C834096"/>
    <w:rsid w:val="4C847B8A"/>
    <w:rsid w:val="4C901025"/>
    <w:rsid w:val="4C906211"/>
    <w:rsid w:val="4C96033B"/>
    <w:rsid w:val="4C97549D"/>
    <w:rsid w:val="4C9B430A"/>
    <w:rsid w:val="4C9F5F18"/>
    <w:rsid w:val="4CA52FBE"/>
    <w:rsid w:val="4CA6567B"/>
    <w:rsid w:val="4CAB201F"/>
    <w:rsid w:val="4CC4204E"/>
    <w:rsid w:val="4CC754CA"/>
    <w:rsid w:val="4CCD1787"/>
    <w:rsid w:val="4CCF2F1F"/>
    <w:rsid w:val="4CD841F0"/>
    <w:rsid w:val="4CD87782"/>
    <w:rsid w:val="4CDA1C06"/>
    <w:rsid w:val="4CDD1206"/>
    <w:rsid w:val="4CF06B00"/>
    <w:rsid w:val="4CF76CE2"/>
    <w:rsid w:val="4CF813F9"/>
    <w:rsid w:val="4CFA2A1C"/>
    <w:rsid w:val="4D140C26"/>
    <w:rsid w:val="4D1B2635"/>
    <w:rsid w:val="4D221D9C"/>
    <w:rsid w:val="4D2251B3"/>
    <w:rsid w:val="4D2A31DF"/>
    <w:rsid w:val="4D3071CD"/>
    <w:rsid w:val="4D375FBE"/>
    <w:rsid w:val="4D463441"/>
    <w:rsid w:val="4D4A1C5C"/>
    <w:rsid w:val="4D536914"/>
    <w:rsid w:val="4D607AA8"/>
    <w:rsid w:val="4D6837B8"/>
    <w:rsid w:val="4D6A0811"/>
    <w:rsid w:val="4D6F6F69"/>
    <w:rsid w:val="4D714816"/>
    <w:rsid w:val="4D776DC3"/>
    <w:rsid w:val="4D877D93"/>
    <w:rsid w:val="4D8B5937"/>
    <w:rsid w:val="4D905912"/>
    <w:rsid w:val="4D9159F5"/>
    <w:rsid w:val="4D96605A"/>
    <w:rsid w:val="4D98115A"/>
    <w:rsid w:val="4DA01148"/>
    <w:rsid w:val="4DB11BBF"/>
    <w:rsid w:val="4DC66735"/>
    <w:rsid w:val="4DCD73A9"/>
    <w:rsid w:val="4DDE509A"/>
    <w:rsid w:val="4DE74431"/>
    <w:rsid w:val="4DF21DFB"/>
    <w:rsid w:val="4DF661D4"/>
    <w:rsid w:val="4DFD3850"/>
    <w:rsid w:val="4E0E6E43"/>
    <w:rsid w:val="4E1702F3"/>
    <w:rsid w:val="4E2369FD"/>
    <w:rsid w:val="4E303544"/>
    <w:rsid w:val="4E33408C"/>
    <w:rsid w:val="4E3D0BD7"/>
    <w:rsid w:val="4E3D42C6"/>
    <w:rsid w:val="4E41233A"/>
    <w:rsid w:val="4E652349"/>
    <w:rsid w:val="4E66332D"/>
    <w:rsid w:val="4E710658"/>
    <w:rsid w:val="4E846458"/>
    <w:rsid w:val="4E8603AB"/>
    <w:rsid w:val="4E972981"/>
    <w:rsid w:val="4E9D6535"/>
    <w:rsid w:val="4EA2405B"/>
    <w:rsid w:val="4EAC2166"/>
    <w:rsid w:val="4EB244F5"/>
    <w:rsid w:val="4EC250AA"/>
    <w:rsid w:val="4EC43EE2"/>
    <w:rsid w:val="4ED571BE"/>
    <w:rsid w:val="4EDC653A"/>
    <w:rsid w:val="4EE23ABC"/>
    <w:rsid w:val="4EFB75BE"/>
    <w:rsid w:val="4F0129AC"/>
    <w:rsid w:val="4F01717B"/>
    <w:rsid w:val="4F097167"/>
    <w:rsid w:val="4F0D434F"/>
    <w:rsid w:val="4F1F2B7E"/>
    <w:rsid w:val="4F2426EF"/>
    <w:rsid w:val="4F3D7B0D"/>
    <w:rsid w:val="4F401FBB"/>
    <w:rsid w:val="4F4F565B"/>
    <w:rsid w:val="4F531102"/>
    <w:rsid w:val="4F576D7F"/>
    <w:rsid w:val="4F5A4BC4"/>
    <w:rsid w:val="4F626555"/>
    <w:rsid w:val="4F737DBA"/>
    <w:rsid w:val="4F7933F9"/>
    <w:rsid w:val="4F7B2A3C"/>
    <w:rsid w:val="4F8144A4"/>
    <w:rsid w:val="4F8731AB"/>
    <w:rsid w:val="4F903087"/>
    <w:rsid w:val="4FA80752"/>
    <w:rsid w:val="4FAD3702"/>
    <w:rsid w:val="4FB23F6E"/>
    <w:rsid w:val="4FB9378A"/>
    <w:rsid w:val="4FC5749B"/>
    <w:rsid w:val="4FC6748D"/>
    <w:rsid w:val="4FD14464"/>
    <w:rsid w:val="4FDD76D1"/>
    <w:rsid w:val="4FE20BB5"/>
    <w:rsid w:val="4FE6073F"/>
    <w:rsid w:val="4FE75848"/>
    <w:rsid w:val="4FEA51AE"/>
    <w:rsid w:val="4FF267B6"/>
    <w:rsid w:val="4FFA7287"/>
    <w:rsid w:val="5003514C"/>
    <w:rsid w:val="500C2485"/>
    <w:rsid w:val="500C2A64"/>
    <w:rsid w:val="500D717C"/>
    <w:rsid w:val="50166EE3"/>
    <w:rsid w:val="502C53C6"/>
    <w:rsid w:val="503839AD"/>
    <w:rsid w:val="503B7294"/>
    <w:rsid w:val="503F2872"/>
    <w:rsid w:val="50435A98"/>
    <w:rsid w:val="50564035"/>
    <w:rsid w:val="50576974"/>
    <w:rsid w:val="505E566C"/>
    <w:rsid w:val="50680896"/>
    <w:rsid w:val="50736D9F"/>
    <w:rsid w:val="50953072"/>
    <w:rsid w:val="509A6650"/>
    <w:rsid w:val="50AF7D6F"/>
    <w:rsid w:val="50B14CA7"/>
    <w:rsid w:val="50B37BF5"/>
    <w:rsid w:val="50B42C92"/>
    <w:rsid w:val="50C46433"/>
    <w:rsid w:val="50CA02C2"/>
    <w:rsid w:val="50F04F61"/>
    <w:rsid w:val="50F55DCE"/>
    <w:rsid w:val="50F62803"/>
    <w:rsid w:val="51122A4F"/>
    <w:rsid w:val="5118355B"/>
    <w:rsid w:val="512460D1"/>
    <w:rsid w:val="5125613F"/>
    <w:rsid w:val="512A08D6"/>
    <w:rsid w:val="512B081D"/>
    <w:rsid w:val="512B276E"/>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231A8"/>
    <w:rsid w:val="519705C8"/>
    <w:rsid w:val="519B3A9C"/>
    <w:rsid w:val="51B33439"/>
    <w:rsid w:val="51B3391D"/>
    <w:rsid w:val="51B66D18"/>
    <w:rsid w:val="51BD3E01"/>
    <w:rsid w:val="51CB7231"/>
    <w:rsid w:val="51DB1F70"/>
    <w:rsid w:val="51DE6A73"/>
    <w:rsid w:val="51E16839"/>
    <w:rsid w:val="51F326E7"/>
    <w:rsid w:val="52037937"/>
    <w:rsid w:val="521956B4"/>
    <w:rsid w:val="52306F10"/>
    <w:rsid w:val="523F19CF"/>
    <w:rsid w:val="52463294"/>
    <w:rsid w:val="52473222"/>
    <w:rsid w:val="52491D69"/>
    <w:rsid w:val="524C1ED0"/>
    <w:rsid w:val="5252693E"/>
    <w:rsid w:val="525B21B3"/>
    <w:rsid w:val="527575EA"/>
    <w:rsid w:val="5288723F"/>
    <w:rsid w:val="529D62AB"/>
    <w:rsid w:val="529F4D3D"/>
    <w:rsid w:val="52A764C0"/>
    <w:rsid w:val="52A77E20"/>
    <w:rsid w:val="52AA1D5D"/>
    <w:rsid w:val="52AA5BC1"/>
    <w:rsid w:val="52B27CEE"/>
    <w:rsid w:val="52C716E5"/>
    <w:rsid w:val="52C73CB6"/>
    <w:rsid w:val="52CC2515"/>
    <w:rsid w:val="52CF5BD6"/>
    <w:rsid w:val="52D43386"/>
    <w:rsid w:val="52E02DB1"/>
    <w:rsid w:val="52E15A71"/>
    <w:rsid w:val="52E379E2"/>
    <w:rsid w:val="52E64FBD"/>
    <w:rsid w:val="52ED5A18"/>
    <w:rsid w:val="52F804A2"/>
    <w:rsid w:val="53002131"/>
    <w:rsid w:val="530B0D9A"/>
    <w:rsid w:val="530C65D4"/>
    <w:rsid w:val="532049B3"/>
    <w:rsid w:val="5322043D"/>
    <w:rsid w:val="532219F2"/>
    <w:rsid w:val="5328483A"/>
    <w:rsid w:val="532D0EE3"/>
    <w:rsid w:val="53361AE6"/>
    <w:rsid w:val="533C018A"/>
    <w:rsid w:val="53452322"/>
    <w:rsid w:val="534578C9"/>
    <w:rsid w:val="5347639A"/>
    <w:rsid w:val="534E13AE"/>
    <w:rsid w:val="534E2F35"/>
    <w:rsid w:val="53513372"/>
    <w:rsid w:val="53586648"/>
    <w:rsid w:val="537629B5"/>
    <w:rsid w:val="537B6AB8"/>
    <w:rsid w:val="538556C1"/>
    <w:rsid w:val="53866318"/>
    <w:rsid w:val="538C276C"/>
    <w:rsid w:val="53A7222E"/>
    <w:rsid w:val="53A97A93"/>
    <w:rsid w:val="53B37E37"/>
    <w:rsid w:val="53C20ED8"/>
    <w:rsid w:val="53C548B5"/>
    <w:rsid w:val="53C87335"/>
    <w:rsid w:val="53D25C65"/>
    <w:rsid w:val="53E33A9E"/>
    <w:rsid w:val="53EF6E85"/>
    <w:rsid w:val="53F050F7"/>
    <w:rsid w:val="53F70B25"/>
    <w:rsid w:val="53FD74A7"/>
    <w:rsid w:val="54026475"/>
    <w:rsid w:val="54066812"/>
    <w:rsid w:val="540C32F1"/>
    <w:rsid w:val="540D2DB1"/>
    <w:rsid w:val="54113405"/>
    <w:rsid w:val="54230C15"/>
    <w:rsid w:val="54265DCC"/>
    <w:rsid w:val="54564BA3"/>
    <w:rsid w:val="54591CC2"/>
    <w:rsid w:val="545A23E4"/>
    <w:rsid w:val="545D2A76"/>
    <w:rsid w:val="5476101E"/>
    <w:rsid w:val="547C69F2"/>
    <w:rsid w:val="548352CB"/>
    <w:rsid w:val="548B782B"/>
    <w:rsid w:val="548B79F3"/>
    <w:rsid w:val="54900F96"/>
    <w:rsid w:val="54990495"/>
    <w:rsid w:val="549D31B2"/>
    <w:rsid w:val="54A12B05"/>
    <w:rsid w:val="54AE498A"/>
    <w:rsid w:val="54B56EED"/>
    <w:rsid w:val="54CE78A2"/>
    <w:rsid w:val="54D509EC"/>
    <w:rsid w:val="54D73DC0"/>
    <w:rsid w:val="54D94CB6"/>
    <w:rsid w:val="54DB3A57"/>
    <w:rsid w:val="54E812AC"/>
    <w:rsid w:val="54EA5084"/>
    <w:rsid w:val="54EC4FC7"/>
    <w:rsid w:val="55093E22"/>
    <w:rsid w:val="553266E7"/>
    <w:rsid w:val="553413DD"/>
    <w:rsid w:val="55367F4D"/>
    <w:rsid w:val="55376110"/>
    <w:rsid w:val="553A13A9"/>
    <w:rsid w:val="55440B0E"/>
    <w:rsid w:val="55494A31"/>
    <w:rsid w:val="554B1F27"/>
    <w:rsid w:val="554E2E03"/>
    <w:rsid w:val="556643C5"/>
    <w:rsid w:val="556D79E1"/>
    <w:rsid w:val="556E64D4"/>
    <w:rsid w:val="557370C9"/>
    <w:rsid w:val="55794F8B"/>
    <w:rsid w:val="557B4C8B"/>
    <w:rsid w:val="55832F33"/>
    <w:rsid w:val="558A5F58"/>
    <w:rsid w:val="558D782E"/>
    <w:rsid w:val="558F42FA"/>
    <w:rsid w:val="55951C70"/>
    <w:rsid w:val="55995C7E"/>
    <w:rsid w:val="55B15C2A"/>
    <w:rsid w:val="55B41C7D"/>
    <w:rsid w:val="55B52DF8"/>
    <w:rsid w:val="55BB4B52"/>
    <w:rsid w:val="55CA34C8"/>
    <w:rsid w:val="55CB1CAC"/>
    <w:rsid w:val="55D11067"/>
    <w:rsid w:val="55D1448A"/>
    <w:rsid w:val="55D15F89"/>
    <w:rsid w:val="55D24E7E"/>
    <w:rsid w:val="55E43802"/>
    <w:rsid w:val="55EA6D1D"/>
    <w:rsid w:val="55EE45E5"/>
    <w:rsid w:val="55FD4C13"/>
    <w:rsid w:val="55FE6BE4"/>
    <w:rsid w:val="56053523"/>
    <w:rsid w:val="560839E5"/>
    <w:rsid w:val="560A2D1E"/>
    <w:rsid w:val="561B3DC0"/>
    <w:rsid w:val="56211BC6"/>
    <w:rsid w:val="563252AC"/>
    <w:rsid w:val="56410B06"/>
    <w:rsid w:val="56417390"/>
    <w:rsid w:val="565874D5"/>
    <w:rsid w:val="56597936"/>
    <w:rsid w:val="565A3745"/>
    <w:rsid w:val="56674043"/>
    <w:rsid w:val="566A4A9E"/>
    <w:rsid w:val="567E7717"/>
    <w:rsid w:val="56890707"/>
    <w:rsid w:val="5694199B"/>
    <w:rsid w:val="56970220"/>
    <w:rsid w:val="56A010CA"/>
    <w:rsid w:val="56A349B9"/>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508E"/>
    <w:rsid w:val="573B6A9D"/>
    <w:rsid w:val="57495B53"/>
    <w:rsid w:val="574D4C69"/>
    <w:rsid w:val="574F1ACC"/>
    <w:rsid w:val="57555665"/>
    <w:rsid w:val="575F3DA0"/>
    <w:rsid w:val="575F7D63"/>
    <w:rsid w:val="57607DA2"/>
    <w:rsid w:val="5764164C"/>
    <w:rsid w:val="576E32F7"/>
    <w:rsid w:val="57741E6F"/>
    <w:rsid w:val="577838C7"/>
    <w:rsid w:val="577A51D7"/>
    <w:rsid w:val="578274F3"/>
    <w:rsid w:val="57885BFA"/>
    <w:rsid w:val="578E0E4C"/>
    <w:rsid w:val="57955666"/>
    <w:rsid w:val="579646C9"/>
    <w:rsid w:val="5798597C"/>
    <w:rsid w:val="579B3D5F"/>
    <w:rsid w:val="579E4CE6"/>
    <w:rsid w:val="57A13973"/>
    <w:rsid w:val="57AB1756"/>
    <w:rsid w:val="57B377B9"/>
    <w:rsid w:val="57BA40E0"/>
    <w:rsid w:val="57BC46BB"/>
    <w:rsid w:val="57C05330"/>
    <w:rsid w:val="57E46B48"/>
    <w:rsid w:val="57E47536"/>
    <w:rsid w:val="57F86A47"/>
    <w:rsid w:val="5801289D"/>
    <w:rsid w:val="58033F83"/>
    <w:rsid w:val="58034FDF"/>
    <w:rsid w:val="58051F1B"/>
    <w:rsid w:val="580F2CBC"/>
    <w:rsid w:val="581669AF"/>
    <w:rsid w:val="582A0100"/>
    <w:rsid w:val="582A6F6D"/>
    <w:rsid w:val="58336793"/>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9A5D13"/>
    <w:rsid w:val="58A03185"/>
    <w:rsid w:val="58A04280"/>
    <w:rsid w:val="58A4669B"/>
    <w:rsid w:val="58A74E2C"/>
    <w:rsid w:val="58B50A9E"/>
    <w:rsid w:val="58B54357"/>
    <w:rsid w:val="58B67D21"/>
    <w:rsid w:val="58B769FC"/>
    <w:rsid w:val="58C213D0"/>
    <w:rsid w:val="58CA2633"/>
    <w:rsid w:val="58D108AB"/>
    <w:rsid w:val="58D973ED"/>
    <w:rsid w:val="58E849A9"/>
    <w:rsid w:val="58F14B54"/>
    <w:rsid w:val="5907013E"/>
    <w:rsid w:val="590848BC"/>
    <w:rsid w:val="5917423E"/>
    <w:rsid w:val="59281BBA"/>
    <w:rsid w:val="59383FC3"/>
    <w:rsid w:val="593B0E3D"/>
    <w:rsid w:val="593E4705"/>
    <w:rsid w:val="594C374D"/>
    <w:rsid w:val="59523F34"/>
    <w:rsid w:val="59565A07"/>
    <w:rsid w:val="595912C2"/>
    <w:rsid w:val="59826013"/>
    <w:rsid w:val="598C6A35"/>
    <w:rsid w:val="59916C22"/>
    <w:rsid w:val="599312D8"/>
    <w:rsid w:val="599B1422"/>
    <w:rsid w:val="59A83A62"/>
    <w:rsid w:val="59AE6DF4"/>
    <w:rsid w:val="59AF2D7A"/>
    <w:rsid w:val="59B4120E"/>
    <w:rsid w:val="59BD41FF"/>
    <w:rsid w:val="59C62A60"/>
    <w:rsid w:val="59CF35AC"/>
    <w:rsid w:val="59D93084"/>
    <w:rsid w:val="59E268FB"/>
    <w:rsid w:val="59E539F6"/>
    <w:rsid w:val="5A0156A4"/>
    <w:rsid w:val="5A043486"/>
    <w:rsid w:val="5A082B87"/>
    <w:rsid w:val="5A0C31B3"/>
    <w:rsid w:val="5A0D6A16"/>
    <w:rsid w:val="5A13713E"/>
    <w:rsid w:val="5A191F5F"/>
    <w:rsid w:val="5A280787"/>
    <w:rsid w:val="5A2B68D2"/>
    <w:rsid w:val="5A2C67A3"/>
    <w:rsid w:val="5A2F6ABD"/>
    <w:rsid w:val="5A3E4B03"/>
    <w:rsid w:val="5A415650"/>
    <w:rsid w:val="5A507CF4"/>
    <w:rsid w:val="5A5105C3"/>
    <w:rsid w:val="5A58463C"/>
    <w:rsid w:val="5A591C8B"/>
    <w:rsid w:val="5A5925FE"/>
    <w:rsid w:val="5A5A54FE"/>
    <w:rsid w:val="5A5A763A"/>
    <w:rsid w:val="5A70416F"/>
    <w:rsid w:val="5A751708"/>
    <w:rsid w:val="5A8654CC"/>
    <w:rsid w:val="5A8D164F"/>
    <w:rsid w:val="5AAD6717"/>
    <w:rsid w:val="5AB032EE"/>
    <w:rsid w:val="5AB36283"/>
    <w:rsid w:val="5ABA5BB6"/>
    <w:rsid w:val="5AC13BE8"/>
    <w:rsid w:val="5ACB1769"/>
    <w:rsid w:val="5AD806B8"/>
    <w:rsid w:val="5ADA200C"/>
    <w:rsid w:val="5ADA5D95"/>
    <w:rsid w:val="5AE03D79"/>
    <w:rsid w:val="5AE30904"/>
    <w:rsid w:val="5AF0056F"/>
    <w:rsid w:val="5AF0295A"/>
    <w:rsid w:val="5B006684"/>
    <w:rsid w:val="5B04366C"/>
    <w:rsid w:val="5B0519EE"/>
    <w:rsid w:val="5B0C78F5"/>
    <w:rsid w:val="5B105CF0"/>
    <w:rsid w:val="5B1523FA"/>
    <w:rsid w:val="5B217F39"/>
    <w:rsid w:val="5B2E1668"/>
    <w:rsid w:val="5B39471A"/>
    <w:rsid w:val="5B3D40D6"/>
    <w:rsid w:val="5B4C60A1"/>
    <w:rsid w:val="5B500A59"/>
    <w:rsid w:val="5B506AC3"/>
    <w:rsid w:val="5B526958"/>
    <w:rsid w:val="5B536466"/>
    <w:rsid w:val="5B5B7E61"/>
    <w:rsid w:val="5B68723A"/>
    <w:rsid w:val="5B743189"/>
    <w:rsid w:val="5B875274"/>
    <w:rsid w:val="5B930D6A"/>
    <w:rsid w:val="5B9C259D"/>
    <w:rsid w:val="5BA142A2"/>
    <w:rsid w:val="5BA51E4A"/>
    <w:rsid w:val="5BA93B43"/>
    <w:rsid w:val="5BB67C27"/>
    <w:rsid w:val="5BB97332"/>
    <w:rsid w:val="5BBC6476"/>
    <w:rsid w:val="5BBD0089"/>
    <w:rsid w:val="5BCF72D3"/>
    <w:rsid w:val="5BD06812"/>
    <w:rsid w:val="5BD734B1"/>
    <w:rsid w:val="5BD868EE"/>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6F7EB5"/>
    <w:rsid w:val="5C74658F"/>
    <w:rsid w:val="5C831D8A"/>
    <w:rsid w:val="5C8C7C44"/>
    <w:rsid w:val="5C915DBC"/>
    <w:rsid w:val="5C987128"/>
    <w:rsid w:val="5C9A36E7"/>
    <w:rsid w:val="5CA729BF"/>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342327"/>
    <w:rsid w:val="5D4C2BA0"/>
    <w:rsid w:val="5D510042"/>
    <w:rsid w:val="5D5339AB"/>
    <w:rsid w:val="5D604556"/>
    <w:rsid w:val="5D6D6215"/>
    <w:rsid w:val="5D8750FF"/>
    <w:rsid w:val="5DA03427"/>
    <w:rsid w:val="5DA12B26"/>
    <w:rsid w:val="5DA52D6F"/>
    <w:rsid w:val="5DA85528"/>
    <w:rsid w:val="5DB36A46"/>
    <w:rsid w:val="5DB467EB"/>
    <w:rsid w:val="5DBE365D"/>
    <w:rsid w:val="5DC7387E"/>
    <w:rsid w:val="5DCD3218"/>
    <w:rsid w:val="5DCD5873"/>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5E419B"/>
    <w:rsid w:val="5E607A72"/>
    <w:rsid w:val="5E640B4C"/>
    <w:rsid w:val="5E6D4A6C"/>
    <w:rsid w:val="5E721515"/>
    <w:rsid w:val="5E7A027D"/>
    <w:rsid w:val="5E8421F4"/>
    <w:rsid w:val="5E857C28"/>
    <w:rsid w:val="5E922AF4"/>
    <w:rsid w:val="5E943315"/>
    <w:rsid w:val="5E976953"/>
    <w:rsid w:val="5E99403E"/>
    <w:rsid w:val="5EA23BEF"/>
    <w:rsid w:val="5EAA45C2"/>
    <w:rsid w:val="5EAB7374"/>
    <w:rsid w:val="5EB5647F"/>
    <w:rsid w:val="5ECA27B9"/>
    <w:rsid w:val="5ECB7BF2"/>
    <w:rsid w:val="5EE55CA3"/>
    <w:rsid w:val="5EE969C3"/>
    <w:rsid w:val="5EF24373"/>
    <w:rsid w:val="5EF30AE7"/>
    <w:rsid w:val="5EF775EB"/>
    <w:rsid w:val="5F053297"/>
    <w:rsid w:val="5F062025"/>
    <w:rsid w:val="5F123402"/>
    <w:rsid w:val="5F15489F"/>
    <w:rsid w:val="5F160E8A"/>
    <w:rsid w:val="5F1B18E3"/>
    <w:rsid w:val="5F1B6750"/>
    <w:rsid w:val="5F2E502C"/>
    <w:rsid w:val="5F3F41A6"/>
    <w:rsid w:val="5F416DDD"/>
    <w:rsid w:val="5F5930CB"/>
    <w:rsid w:val="5F5F2A5D"/>
    <w:rsid w:val="5F615C89"/>
    <w:rsid w:val="5F6331CC"/>
    <w:rsid w:val="5F6A70E7"/>
    <w:rsid w:val="5F7413ED"/>
    <w:rsid w:val="5F74277E"/>
    <w:rsid w:val="5F771E2C"/>
    <w:rsid w:val="5F817E11"/>
    <w:rsid w:val="5F88394B"/>
    <w:rsid w:val="5F916B4B"/>
    <w:rsid w:val="5F9C1A78"/>
    <w:rsid w:val="5FA76A91"/>
    <w:rsid w:val="5FA85234"/>
    <w:rsid w:val="5FBA5EC2"/>
    <w:rsid w:val="5FC57C91"/>
    <w:rsid w:val="5FCE245F"/>
    <w:rsid w:val="5FCE283F"/>
    <w:rsid w:val="5FCF3308"/>
    <w:rsid w:val="5FD32219"/>
    <w:rsid w:val="5FD370E2"/>
    <w:rsid w:val="5FDC1B9B"/>
    <w:rsid w:val="5FE452E5"/>
    <w:rsid w:val="5FF50B7C"/>
    <w:rsid w:val="5FF564FD"/>
    <w:rsid w:val="5FF73609"/>
    <w:rsid w:val="5FF74A8C"/>
    <w:rsid w:val="5FF80F4A"/>
    <w:rsid w:val="5FFB1252"/>
    <w:rsid w:val="60072412"/>
    <w:rsid w:val="600E0E1E"/>
    <w:rsid w:val="60130301"/>
    <w:rsid w:val="60196F3A"/>
    <w:rsid w:val="603043EF"/>
    <w:rsid w:val="604D59E9"/>
    <w:rsid w:val="6053446B"/>
    <w:rsid w:val="60536011"/>
    <w:rsid w:val="605C4014"/>
    <w:rsid w:val="606821BD"/>
    <w:rsid w:val="60830074"/>
    <w:rsid w:val="60870B21"/>
    <w:rsid w:val="608E350A"/>
    <w:rsid w:val="6095223F"/>
    <w:rsid w:val="60A869EE"/>
    <w:rsid w:val="60AA0843"/>
    <w:rsid w:val="60AC0C65"/>
    <w:rsid w:val="60AF3BE9"/>
    <w:rsid w:val="60B751F5"/>
    <w:rsid w:val="60D33850"/>
    <w:rsid w:val="60D770B3"/>
    <w:rsid w:val="60D8190A"/>
    <w:rsid w:val="60DB7CBD"/>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060D3"/>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82DED"/>
    <w:rsid w:val="627A370F"/>
    <w:rsid w:val="62990512"/>
    <w:rsid w:val="629F065A"/>
    <w:rsid w:val="62B25649"/>
    <w:rsid w:val="62B73743"/>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C7742"/>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321FB"/>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83B4A"/>
    <w:rsid w:val="640E3524"/>
    <w:rsid w:val="640F4F56"/>
    <w:rsid w:val="640F7FA3"/>
    <w:rsid w:val="64102D47"/>
    <w:rsid w:val="64231810"/>
    <w:rsid w:val="64280937"/>
    <w:rsid w:val="64294638"/>
    <w:rsid w:val="642D5F34"/>
    <w:rsid w:val="642F435C"/>
    <w:rsid w:val="64307255"/>
    <w:rsid w:val="643136E1"/>
    <w:rsid w:val="64376A42"/>
    <w:rsid w:val="64410116"/>
    <w:rsid w:val="64412FC5"/>
    <w:rsid w:val="644520C4"/>
    <w:rsid w:val="644A77C2"/>
    <w:rsid w:val="644E4B1D"/>
    <w:rsid w:val="646D1FB5"/>
    <w:rsid w:val="6475495F"/>
    <w:rsid w:val="64826F27"/>
    <w:rsid w:val="64890815"/>
    <w:rsid w:val="64A37D80"/>
    <w:rsid w:val="64AB2CF9"/>
    <w:rsid w:val="64AC17E3"/>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4551E6"/>
    <w:rsid w:val="65544D25"/>
    <w:rsid w:val="655C6CD3"/>
    <w:rsid w:val="6566344B"/>
    <w:rsid w:val="656A573C"/>
    <w:rsid w:val="656D3E63"/>
    <w:rsid w:val="65731938"/>
    <w:rsid w:val="65763127"/>
    <w:rsid w:val="6582169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5ED3E5E"/>
    <w:rsid w:val="65FD3C6D"/>
    <w:rsid w:val="660518AD"/>
    <w:rsid w:val="6607611A"/>
    <w:rsid w:val="66112D35"/>
    <w:rsid w:val="662249C7"/>
    <w:rsid w:val="662E458E"/>
    <w:rsid w:val="664F1459"/>
    <w:rsid w:val="6660751B"/>
    <w:rsid w:val="66695A3D"/>
    <w:rsid w:val="666E4871"/>
    <w:rsid w:val="667E1BDC"/>
    <w:rsid w:val="66843C27"/>
    <w:rsid w:val="668A358B"/>
    <w:rsid w:val="669052F7"/>
    <w:rsid w:val="669D0A84"/>
    <w:rsid w:val="66A22294"/>
    <w:rsid w:val="66B167D9"/>
    <w:rsid w:val="66B718F6"/>
    <w:rsid w:val="66B77C96"/>
    <w:rsid w:val="66C6028C"/>
    <w:rsid w:val="66EB255A"/>
    <w:rsid w:val="66F35B25"/>
    <w:rsid w:val="66FA0F0B"/>
    <w:rsid w:val="66FD34E6"/>
    <w:rsid w:val="66FE30D6"/>
    <w:rsid w:val="67087440"/>
    <w:rsid w:val="670B02A7"/>
    <w:rsid w:val="671A5340"/>
    <w:rsid w:val="671B2EF2"/>
    <w:rsid w:val="67200B3F"/>
    <w:rsid w:val="67305EDA"/>
    <w:rsid w:val="6732010A"/>
    <w:rsid w:val="6733716B"/>
    <w:rsid w:val="67396278"/>
    <w:rsid w:val="673E0E9D"/>
    <w:rsid w:val="674D7E5D"/>
    <w:rsid w:val="67523C88"/>
    <w:rsid w:val="6756464F"/>
    <w:rsid w:val="675B6F05"/>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D4770"/>
    <w:rsid w:val="67DF5131"/>
    <w:rsid w:val="67E0527D"/>
    <w:rsid w:val="67E31422"/>
    <w:rsid w:val="67E9447E"/>
    <w:rsid w:val="67EA4D75"/>
    <w:rsid w:val="67F12CC4"/>
    <w:rsid w:val="67F50316"/>
    <w:rsid w:val="67F8136D"/>
    <w:rsid w:val="67FA7D4C"/>
    <w:rsid w:val="67FD5E3A"/>
    <w:rsid w:val="680111FD"/>
    <w:rsid w:val="680B3317"/>
    <w:rsid w:val="6810413D"/>
    <w:rsid w:val="682C3322"/>
    <w:rsid w:val="683407D5"/>
    <w:rsid w:val="683F785C"/>
    <w:rsid w:val="68570DC2"/>
    <w:rsid w:val="6865768E"/>
    <w:rsid w:val="68666722"/>
    <w:rsid w:val="6868422B"/>
    <w:rsid w:val="6870626F"/>
    <w:rsid w:val="68756660"/>
    <w:rsid w:val="687B65AE"/>
    <w:rsid w:val="68847A53"/>
    <w:rsid w:val="688B2754"/>
    <w:rsid w:val="68910854"/>
    <w:rsid w:val="68A208F6"/>
    <w:rsid w:val="68A864AF"/>
    <w:rsid w:val="68F4740B"/>
    <w:rsid w:val="68FD6FF5"/>
    <w:rsid w:val="68FE10A8"/>
    <w:rsid w:val="68FE79AF"/>
    <w:rsid w:val="69012993"/>
    <w:rsid w:val="690220BD"/>
    <w:rsid w:val="69030DDF"/>
    <w:rsid w:val="690D4041"/>
    <w:rsid w:val="6912744C"/>
    <w:rsid w:val="69187AE4"/>
    <w:rsid w:val="691B76DD"/>
    <w:rsid w:val="69273460"/>
    <w:rsid w:val="69286F07"/>
    <w:rsid w:val="692B095B"/>
    <w:rsid w:val="69336BFC"/>
    <w:rsid w:val="694D0C05"/>
    <w:rsid w:val="694F15B3"/>
    <w:rsid w:val="695100E3"/>
    <w:rsid w:val="695276CE"/>
    <w:rsid w:val="69611825"/>
    <w:rsid w:val="696E6A02"/>
    <w:rsid w:val="69797C2C"/>
    <w:rsid w:val="69823C91"/>
    <w:rsid w:val="69826BA8"/>
    <w:rsid w:val="698A1E75"/>
    <w:rsid w:val="6998191E"/>
    <w:rsid w:val="699D3999"/>
    <w:rsid w:val="69A0156D"/>
    <w:rsid w:val="69B071F3"/>
    <w:rsid w:val="69B3536F"/>
    <w:rsid w:val="69BB5859"/>
    <w:rsid w:val="69BE0417"/>
    <w:rsid w:val="69BF1493"/>
    <w:rsid w:val="69C20911"/>
    <w:rsid w:val="69C5778C"/>
    <w:rsid w:val="69C953F4"/>
    <w:rsid w:val="69CA0200"/>
    <w:rsid w:val="69D12A83"/>
    <w:rsid w:val="69D15066"/>
    <w:rsid w:val="69DF62ED"/>
    <w:rsid w:val="69E3416F"/>
    <w:rsid w:val="69E55D04"/>
    <w:rsid w:val="69E71CBB"/>
    <w:rsid w:val="69F105B9"/>
    <w:rsid w:val="6A041549"/>
    <w:rsid w:val="6A062314"/>
    <w:rsid w:val="6A062F06"/>
    <w:rsid w:val="6A07169A"/>
    <w:rsid w:val="6A071E00"/>
    <w:rsid w:val="6A0F026D"/>
    <w:rsid w:val="6A1904ED"/>
    <w:rsid w:val="6A252E83"/>
    <w:rsid w:val="6A2B39A2"/>
    <w:rsid w:val="6A2F2A40"/>
    <w:rsid w:val="6A4D3CC2"/>
    <w:rsid w:val="6A4E63D2"/>
    <w:rsid w:val="6A574BA7"/>
    <w:rsid w:val="6A7061D6"/>
    <w:rsid w:val="6A72023C"/>
    <w:rsid w:val="6A763A2D"/>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82E78"/>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B2151"/>
    <w:rsid w:val="6BFF45AB"/>
    <w:rsid w:val="6C016248"/>
    <w:rsid w:val="6C081D85"/>
    <w:rsid w:val="6C0B3C6A"/>
    <w:rsid w:val="6C0B6EFE"/>
    <w:rsid w:val="6C151FEE"/>
    <w:rsid w:val="6C166900"/>
    <w:rsid w:val="6C337910"/>
    <w:rsid w:val="6C404FA0"/>
    <w:rsid w:val="6C4B4E38"/>
    <w:rsid w:val="6C5343CE"/>
    <w:rsid w:val="6C5643DD"/>
    <w:rsid w:val="6C5A40D8"/>
    <w:rsid w:val="6C6A178A"/>
    <w:rsid w:val="6C7257CE"/>
    <w:rsid w:val="6C727D8C"/>
    <w:rsid w:val="6C7C29A7"/>
    <w:rsid w:val="6C804214"/>
    <w:rsid w:val="6C8101B2"/>
    <w:rsid w:val="6C866650"/>
    <w:rsid w:val="6CAF2677"/>
    <w:rsid w:val="6CB56876"/>
    <w:rsid w:val="6CB569E9"/>
    <w:rsid w:val="6CC419F3"/>
    <w:rsid w:val="6CC469B5"/>
    <w:rsid w:val="6CC52465"/>
    <w:rsid w:val="6CC5648B"/>
    <w:rsid w:val="6CCA507D"/>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97DB1"/>
    <w:rsid w:val="6D2B774A"/>
    <w:rsid w:val="6D4A2F8D"/>
    <w:rsid w:val="6D4B2AE7"/>
    <w:rsid w:val="6D563901"/>
    <w:rsid w:val="6D564DD4"/>
    <w:rsid w:val="6D5E77D6"/>
    <w:rsid w:val="6D5F0BC8"/>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7A5CAA"/>
    <w:rsid w:val="6E8C7890"/>
    <w:rsid w:val="6E9821A1"/>
    <w:rsid w:val="6E997104"/>
    <w:rsid w:val="6EA2047A"/>
    <w:rsid w:val="6EB02A3D"/>
    <w:rsid w:val="6EB61295"/>
    <w:rsid w:val="6ECE7848"/>
    <w:rsid w:val="6ECE78F2"/>
    <w:rsid w:val="6EDD0E4F"/>
    <w:rsid w:val="6EE45BEF"/>
    <w:rsid w:val="6EEB23CD"/>
    <w:rsid w:val="6EEB289D"/>
    <w:rsid w:val="6EEC2156"/>
    <w:rsid w:val="6EF76E3B"/>
    <w:rsid w:val="6F08121A"/>
    <w:rsid w:val="6F1A7823"/>
    <w:rsid w:val="6F2E4584"/>
    <w:rsid w:val="6F3B231F"/>
    <w:rsid w:val="6F506F31"/>
    <w:rsid w:val="6F5144F5"/>
    <w:rsid w:val="6F652332"/>
    <w:rsid w:val="6F6B6565"/>
    <w:rsid w:val="6F721BEC"/>
    <w:rsid w:val="6F7826CF"/>
    <w:rsid w:val="6F87584E"/>
    <w:rsid w:val="6F896002"/>
    <w:rsid w:val="6F896F89"/>
    <w:rsid w:val="6F8C1763"/>
    <w:rsid w:val="6F8C1F27"/>
    <w:rsid w:val="6F8F70CC"/>
    <w:rsid w:val="6F906381"/>
    <w:rsid w:val="6F917FAF"/>
    <w:rsid w:val="6F972CFB"/>
    <w:rsid w:val="6F9A3481"/>
    <w:rsid w:val="6F9A4FCC"/>
    <w:rsid w:val="6F9C1AEB"/>
    <w:rsid w:val="6F9F28E6"/>
    <w:rsid w:val="6F9F2DC4"/>
    <w:rsid w:val="6FAA3674"/>
    <w:rsid w:val="6FB07698"/>
    <w:rsid w:val="6FC07B20"/>
    <w:rsid w:val="6FC57A5A"/>
    <w:rsid w:val="6FDB7436"/>
    <w:rsid w:val="6FDC69C2"/>
    <w:rsid w:val="6FDF3A89"/>
    <w:rsid w:val="6FE07F82"/>
    <w:rsid w:val="6FE27248"/>
    <w:rsid w:val="6FE70801"/>
    <w:rsid w:val="6FEB35BA"/>
    <w:rsid w:val="6FF2376F"/>
    <w:rsid w:val="6FF81393"/>
    <w:rsid w:val="70003C65"/>
    <w:rsid w:val="70005178"/>
    <w:rsid w:val="70052F32"/>
    <w:rsid w:val="70065B25"/>
    <w:rsid w:val="7022547F"/>
    <w:rsid w:val="70296D61"/>
    <w:rsid w:val="70305E41"/>
    <w:rsid w:val="70330580"/>
    <w:rsid w:val="70387BCD"/>
    <w:rsid w:val="703A78B5"/>
    <w:rsid w:val="70416737"/>
    <w:rsid w:val="704D5C5C"/>
    <w:rsid w:val="70565E69"/>
    <w:rsid w:val="706D4E67"/>
    <w:rsid w:val="7079762B"/>
    <w:rsid w:val="708014F1"/>
    <w:rsid w:val="70983A85"/>
    <w:rsid w:val="7099331C"/>
    <w:rsid w:val="70A048FD"/>
    <w:rsid w:val="70A40930"/>
    <w:rsid w:val="70A7716A"/>
    <w:rsid w:val="70AA59AD"/>
    <w:rsid w:val="70B8391A"/>
    <w:rsid w:val="70C278F5"/>
    <w:rsid w:val="70C76086"/>
    <w:rsid w:val="70D55D00"/>
    <w:rsid w:val="70DC06A6"/>
    <w:rsid w:val="70DD4BB8"/>
    <w:rsid w:val="70E23125"/>
    <w:rsid w:val="70F16AD0"/>
    <w:rsid w:val="70F528A6"/>
    <w:rsid w:val="70FF1E43"/>
    <w:rsid w:val="71062FFD"/>
    <w:rsid w:val="71092536"/>
    <w:rsid w:val="71093815"/>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50387"/>
    <w:rsid w:val="71951BE8"/>
    <w:rsid w:val="7197193B"/>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E65968"/>
    <w:rsid w:val="71F723E8"/>
    <w:rsid w:val="7202528F"/>
    <w:rsid w:val="72196F07"/>
    <w:rsid w:val="721C71DD"/>
    <w:rsid w:val="722E1DAB"/>
    <w:rsid w:val="72317074"/>
    <w:rsid w:val="723423EA"/>
    <w:rsid w:val="723472E2"/>
    <w:rsid w:val="72357F64"/>
    <w:rsid w:val="72365637"/>
    <w:rsid w:val="72386A0D"/>
    <w:rsid w:val="7252252A"/>
    <w:rsid w:val="72562A15"/>
    <w:rsid w:val="726631BE"/>
    <w:rsid w:val="726C5886"/>
    <w:rsid w:val="727205E6"/>
    <w:rsid w:val="727262A0"/>
    <w:rsid w:val="727B396C"/>
    <w:rsid w:val="72806500"/>
    <w:rsid w:val="728511DC"/>
    <w:rsid w:val="728A0199"/>
    <w:rsid w:val="72904C14"/>
    <w:rsid w:val="72906D0C"/>
    <w:rsid w:val="729D6EDF"/>
    <w:rsid w:val="72A73849"/>
    <w:rsid w:val="72A84BC9"/>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1722A"/>
    <w:rsid w:val="735C71B3"/>
    <w:rsid w:val="7374494E"/>
    <w:rsid w:val="73761AFD"/>
    <w:rsid w:val="737816A8"/>
    <w:rsid w:val="737C58BE"/>
    <w:rsid w:val="737E55D6"/>
    <w:rsid w:val="737E7075"/>
    <w:rsid w:val="73937D3A"/>
    <w:rsid w:val="739D19BD"/>
    <w:rsid w:val="73A31C75"/>
    <w:rsid w:val="73AE3CBE"/>
    <w:rsid w:val="73AF49BD"/>
    <w:rsid w:val="73C31EC7"/>
    <w:rsid w:val="73CD7CF6"/>
    <w:rsid w:val="73D66539"/>
    <w:rsid w:val="73DE20E5"/>
    <w:rsid w:val="73E154A0"/>
    <w:rsid w:val="73E56CB3"/>
    <w:rsid w:val="73E77095"/>
    <w:rsid w:val="73EF795C"/>
    <w:rsid w:val="73F641AB"/>
    <w:rsid w:val="73F92E98"/>
    <w:rsid w:val="73FF2B0A"/>
    <w:rsid w:val="74000C22"/>
    <w:rsid w:val="740E2030"/>
    <w:rsid w:val="74144EA0"/>
    <w:rsid w:val="741474A6"/>
    <w:rsid w:val="741D661B"/>
    <w:rsid w:val="741E6193"/>
    <w:rsid w:val="74291CE9"/>
    <w:rsid w:val="742A3BDB"/>
    <w:rsid w:val="74347BB6"/>
    <w:rsid w:val="743A3D1F"/>
    <w:rsid w:val="744426E2"/>
    <w:rsid w:val="745466A7"/>
    <w:rsid w:val="74601BD6"/>
    <w:rsid w:val="74713D51"/>
    <w:rsid w:val="74750914"/>
    <w:rsid w:val="74785503"/>
    <w:rsid w:val="74822038"/>
    <w:rsid w:val="74830D5C"/>
    <w:rsid w:val="748322C2"/>
    <w:rsid w:val="748C29E9"/>
    <w:rsid w:val="749E3408"/>
    <w:rsid w:val="74A60988"/>
    <w:rsid w:val="74AB4551"/>
    <w:rsid w:val="74B56C06"/>
    <w:rsid w:val="74B94487"/>
    <w:rsid w:val="74C02B00"/>
    <w:rsid w:val="74C64023"/>
    <w:rsid w:val="74D34A2A"/>
    <w:rsid w:val="74E0285E"/>
    <w:rsid w:val="74E41E18"/>
    <w:rsid w:val="74EE7A3F"/>
    <w:rsid w:val="74F4751F"/>
    <w:rsid w:val="74F91C79"/>
    <w:rsid w:val="74F94A87"/>
    <w:rsid w:val="74F97E05"/>
    <w:rsid w:val="75010FAB"/>
    <w:rsid w:val="751968C4"/>
    <w:rsid w:val="752341C1"/>
    <w:rsid w:val="75383785"/>
    <w:rsid w:val="755172C5"/>
    <w:rsid w:val="755529D0"/>
    <w:rsid w:val="7567351D"/>
    <w:rsid w:val="75692C6E"/>
    <w:rsid w:val="757C1012"/>
    <w:rsid w:val="758173F8"/>
    <w:rsid w:val="759B6AFB"/>
    <w:rsid w:val="759E4EA7"/>
    <w:rsid w:val="75A10E22"/>
    <w:rsid w:val="75AD422B"/>
    <w:rsid w:val="75C068A9"/>
    <w:rsid w:val="75CC0E61"/>
    <w:rsid w:val="75CE0374"/>
    <w:rsid w:val="75D25867"/>
    <w:rsid w:val="75D769A5"/>
    <w:rsid w:val="75DB4086"/>
    <w:rsid w:val="75DF68BB"/>
    <w:rsid w:val="75E417B2"/>
    <w:rsid w:val="75EF6F95"/>
    <w:rsid w:val="75F4218D"/>
    <w:rsid w:val="76132FE4"/>
    <w:rsid w:val="761E3F90"/>
    <w:rsid w:val="76211E97"/>
    <w:rsid w:val="762239BB"/>
    <w:rsid w:val="76272769"/>
    <w:rsid w:val="762A014F"/>
    <w:rsid w:val="76301DC9"/>
    <w:rsid w:val="763656E0"/>
    <w:rsid w:val="763C3EA3"/>
    <w:rsid w:val="76400507"/>
    <w:rsid w:val="764440D9"/>
    <w:rsid w:val="765C674B"/>
    <w:rsid w:val="765D1540"/>
    <w:rsid w:val="7663578F"/>
    <w:rsid w:val="768E55DA"/>
    <w:rsid w:val="769F6C8C"/>
    <w:rsid w:val="76A0160E"/>
    <w:rsid w:val="76A54445"/>
    <w:rsid w:val="76B6222A"/>
    <w:rsid w:val="76BD097A"/>
    <w:rsid w:val="76C44FAF"/>
    <w:rsid w:val="76C5396B"/>
    <w:rsid w:val="76CE25D0"/>
    <w:rsid w:val="76D64223"/>
    <w:rsid w:val="76E30140"/>
    <w:rsid w:val="76E61D96"/>
    <w:rsid w:val="76EB730E"/>
    <w:rsid w:val="76F33325"/>
    <w:rsid w:val="76F63E3A"/>
    <w:rsid w:val="76F754DC"/>
    <w:rsid w:val="770D50CB"/>
    <w:rsid w:val="771D60FB"/>
    <w:rsid w:val="77253385"/>
    <w:rsid w:val="77363120"/>
    <w:rsid w:val="773D5084"/>
    <w:rsid w:val="77597522"/>
    <w:rsid w:val="775F3709"/>
    <w:rsid w:val="77673DCE"/>
    <w:rsid w:val="777A7A3E"/>
    <w:rsid w:val="777C2047"/>
    <w:rsid w:val="777E72EB"/>
    <w:rsid w:val="778210F4"/>
    <w:rsid w:val="77837BFC"/>
    <w:rsid w:val="77872A68"/>
    <w:rsid w:val="778963A8"/>
    <w:rsid w:val="7795400E"/>
    <w:rsid w:val="779658AF"/>
    <w:rsid w:val="779B62EB"/>
    <w:rsid w:val="77A45D40"/>
    <w:rsid w:val="77A836FD"/>
    <w:rsid w:val="77A95C32"/>
    <w:rsid w:val="77AB005F"/>
    <w:rsid w:val="77AB1F47"/>
    <w:rsid w:val="77B05E65"/>
    <w:rsid w:val="77B63286"/>
    <w:rsid w:val="77CE5948"/>
    <w:rsid w:val="77CF7217"/>
    <w:rsid w:val="77D55C5A"/>
    <w:rsid w:val="77D719C1"/>
    <w:rsid w:val="77D97597"/>
    <w:rsid w:val="77DC4E85"/>
    <w:rsid w:val="77E17B5D"/>
    <w:rsid w:val="77F4062E"/>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A75E3"/>
    <w:rsid w:val="785B044D"/>
    <w:rsid w:val="785F7AC3"/>
    <w:rsid w:val="78617FD5"/>
    <w:rsid w:val="78854964"/>
    <w:rsid w:val="7886683C"/>
    <w:rsid w:val="788F6B73"/>
    <w:rsid w:val="78917997"/>
    <w:rsid w:val="78981E14"/>
    <w:rsid w:val="78A16DC0"/>
    <w:rsid w:val="78A64E78"/>
    <w:rsid w:val="78A81C0C"/>
    <w:rsid w:val="78BC2826"/>
    <w:rsid w:val="78BC4079"/>
    <w:rsid w:val="78BF6574"/>
    <w:rsid w:val="78C054A7"/>
    <w:rsid w:val="78CB79FF"/>
    <w:rsid w:val="78D163F7"/>
    <w:rsid w:val="78D72EE7"/>
    <w:rsid w:val="78DA26BD"/>
    <w:rsid w:val="78DD52D7"/>
    <w:rsid w:val="78EB582C"/>
    <w:rsid w:val="78EC4EB8"/>
    <w:rsid w:val="78F04942"/>
    <w:rsid w:val="78F41573"/>
    <w:rsid w:val="78F51C92"/>
    <w:rsid w:val="78F72BFD"/>
    <w:rsid w:val="78FC5DA2"/>
    <w:rsid w:val="78FD530C"/>
    <w:rsid w:val="78FF404E"/>
    <w:rsid w:val="78FF5438"/>
    <w:rsid w:val="78FF75C8"/>
    <w:rsid w:val="790A5D98"/>
    <w:rsid w:val="790C504D"/>
    <w:rsid w:val="790D76E0"/>
    <w:rsid w:val="79137033"/>
    <w:rsid w:val="7914182E"/>
    <w:rsid w:val="7915512C"/>
    <w:rsid w:val="793C1FC0"/>
    <w:rsid w:val="79486213"/>
    <w:rsid w:val="794E1E8C"/>
    <w:rsid w:val="794E6DA1"/>
    <w:rsid w:val="795718DC"/>
    <w:rsid w:val="795A7853"/>
    <w:rsid w:val="79625528"/>
    <w:rsid w:val="7963001B"/>
    <w:rsid w:val="796411F3"/>
    <w:rsid w:val="796528F1"/>
    <w:rsid w:val="7971324B"/>
    <w:rsid w:val="79782668"/>
    <w:rsid w:val="797D7C7B"/>
    <w:rsid w:val="798473C1"/>
    <w:rsid w:val="798D0CB1"/>
    <w:rsid w:val="799112AD"/>
    <w:rsid w:val="79A86E7D"/>
    <w:rsid w:val="79A917D5"/>
    <w:rsid w:val="79C43B11"/>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66D06"/>
    <w:rsid w:val="7AD83D61"/>
    <w:rsid w:val="7AD8638B"/>
    <w:rsid w:val="7AE04EF0"/>
    <w:rsid w:val="7AE35C80"/>
    <w:rsid w:val="7AE66DF9"/>
    <w:rsid w:val="7AE9138D"/>
    <w:rsid w:val="7AF30762"/>
    <w:rsid w:val="7AF5755C"/>
    <w:rsid w:val="7B0831DB"/>
    <w:rsid w:val="7B127C9A"/>
    <w:rsid w:val="7B132239"/>
    <w:rsid w:val="7B14085D"/>
    <w:rsid w:val="7B18090F"/>
    <w:rsid w:val="7B215172"/>
    <w:rsid w:val="7B21591B"/>
    <w:rsid w:val="7B3525E5"/>
    <w:rsid w:val="7B3B4883"/>
    <w:rsid w:val="7B4868F2"/>
    <w:rsid w:val="7B4F6860"/>
    <w:rsid w:val="7B5E36DC"/>
    <w:rsid w:val="7B616B8F"/>
    <w:rsid w:val="7B6318CD"/>
    <w:rsid w:val="7B70382F"/>
    <w:rsid w:val="7B77268D"/>
    <w:rsid w:val="7B7D6711"/>
    <w:rsid w:val="7B7F209E"/>
    <w:rsid w:val="7B854D5B"/>
    <w:rsid w:val="7B9753D0"/>
    <w:rsid w:val="7B990D55"/>
    <w:rsid w:val="7B9A25AA"/>
    <w:rsid w:val="7B9D1C0D"/>
    <w:rsid w:val="7BA521B3"/>
    <w:rsid w:val="7BAD2945"/>
    <w:rsid w:val="7BAF270A"/>
    <w:rsid w:val="7BB4250E"/>
    <w:rsid w:val="7BBE34FB"/>
    <w:rsid w:val="7BC27BB4"/>
    <w:rsid w:val="7BCE26A5"/>
    <w:rsid w:val="7BE305B2"/>
    <w:rsid w:val="7BE7137F"/>
    <w:rsid w:val="7BF06EC0"/>
    <w:rsid w:val="7BF333D1"/>
    <w:rsid w:val="7C036F42"/>
    <w:rsid w:val="7C063E84"/>
    <w:rsid w:val="7C0E2754"/>
    <w:rsid w:val="7C18182D"/>
    <w:rsid w:val="7C1C50AC"/>
    <w:rsid w:val="7C1E48E8"/>
    <w:rsid w:val="7C270240"/>
    <w:rsid w:val="7C302A72"/>
    <w:rsid w:val="7C35301B"/>
    <w:rsid w:val="7C3D63E5"/>
    <w:rsid w:val="7C607382"/>
    <w:rsid w:val="7C6762E3"/>
    <w:rsid w:val="7C6F2369"/>
    <w:rsid w:val="7C8A0A6B"/>
    <w:rsid w:val="7C8C2941"/>
    <w:rsid w:val="7C8C4745"/>
    <w:rsid w:val="7C905063"/>
    <w:rsid w:val="7C930BAE"/>
    <w:rsid w:val="7CBF7665"/>
    <w:rsid w:val="7CBF7924"/>
    <w:rsid w:val="7CCB2B42"/>
    <w:rsid w:val="7CDF2E23"/>
    <w:rsid w:val="7CFC37A3"/>
    <w:rsid w:val="7D0522E0"/>
    <w:rsid w:val="7D176CD4"/>
    <w:rsid w:val="7D18193F"/>
    <w:rsid w:val="7D316BAB"/>
    <w:rsid w:val="7D377A61"/>
    <w:rsid w:val="7D3C36D7"/>
    <w:rsid w:val="7D433D1A"/>
    <w:rsid w:val="7D4E6D0D"/>
    <w:rsid w:val="7D547A3C"/>
    <w:rsid w:val="7D5F203D"/>
    <w:rsid w:val="7D6D7F9D"/>
    <w:rsid w:val="7D737ECC"/>
    <w:rsid w:val="7D7621E8"/>
    <w:rsid w:val="7D7F4D51"/>
    <w:rsid w:val="7D823E09"/>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A4285"/>
    <w:rsid w:val="7E0B1ECA"/>
    <w:rsid w:val="7E0D1655"/>
    <w:rsid w:val="7E0E4C52"/>
    <w:rsid w:val="7E180D00"/>
    <w:rsid w:val="7E1A5F33"/>
    <w:rsid w:val="7E1B1677"/>
    <w:rsid w:val="7E1B4DBE"/>
    <w:rsid w:val="7E25635C"/>
    <w:rsid w:val="7E2C3CEE"/>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B04B7"/>
    <w:rsid w:val="7F0E419C"/>
    <w:rsid w:val="7F1A430A"/>
    <w:rsid w:val="7F1A7380"/>
    <w:rsid w:val="7F1A7D15"/>
    <w:rsid w:val="7F1B6A1F"/>
    <w:rsid w:val="7F1C3521"/>
    <w:rsid w:val="7F1E4033"/>
    <w:rsid w:val="7F2C2C1A"/>
    <w:rsid w:val="7F341C62"/>
    <w:rsid w:val="7F342EBD"/>
    <w:rsid w:val="7F3F4EA7"/>
    <w:rsid w:val="7F497E6B"/>
    <w:rsid w:val="7F4A08E4"/>
    <w:rsid w:val="7F4A73D2"/>
    <w:rsid w:val="7F4C786A"/>
    <w:rsid w:val="7F5C2611"/>
    <w:rsid w:val="7F5D1468"/>
    <w:rsid w:val="7F6652E2"/>
    <w:rsid w:val="7F721CC2"/>
    <w:rsid w:val="7F7815B7"/>
    <w:rsid w:val="7F7C5084"/>
    <w:rsid w:val="7F7D23B8"/>
    <w:rsid w:val="7F8D6516"/>
    <w:rsid w:val="7F9075B7"/>
    <w:rsid w:val="7F9614FF"/>
    <w:rsid w:val="7F9C2851"/>
    <w:rsid w:val="7F9C3B32"/>
    <w:rsid w:val="7FA27E45"/>
    <w:rsid w:val="7FA82070"/>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68"/>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正文2"/>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2035BA-2F5E-4038-9613-56BE389D1C0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2034</Words>
  <Characters>11594</Characters>
  <Lines>96</Lines>
  <Paragraphs>27</Paragraphs>
  <TotalTime>2</TotalTime>
  <ScaleCrop>false</ScaleCrop>
  <LinksUpToDate>false</LinksUpToDate>
  <CharactersWithSpaces>13601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Rapp_after#123</cp:lastModifiedBy>
  <cp:lastPrinted>2113-01-01T00:00:00Z</cp:lastPrinted>
  <dcterms:modified xsi:type="dcterms:W3CDTF">2023-09-29T02:01:08Z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054E95B701C74B4C92F2F87C461DBFAE</vt:lpwstr>
  </property>
</Properties>
</file>